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F97" w:rsidRPr="00A11F97" w:rsidRDefault="00A11F97" w:rsidP="00A11F97">
      <w:pPr>
        <w:spacing w:after="120" w:line="240" w:lineRule="auto"/>
        <w:jc w:val="both"/>
        <w:rPr>
          <w:color w:val="0070C0"/>
          <w:sz w:val="20"/>
          <w:lang w:val="en-US"/>
        </w:rPr>
      </w:pPr>
      <w:r w:rsidRPr="00F7584B">
        <w:rPr>
          <w:b/>
          <w:sz w:val="20"/>
          <w:lang w:val="en-US"/>
        </w:rPr>
        <w:t>Tab</w:t>
      </w:r>
      <w:r>
        <w:rPr>
          <w:b/>
          <w:sz w:val="20"/>
          <w:lang w:val="en-US"/>
        </w:rPr>
        <w:t>le</w:t>
      </w:r>
      <w:r w:rsidRPr="00F7584B">
        <w:rPr>
          <w:b/>
          <w:sz w:val="20"/>
          <w:lang w:val="en-US"/>
        </w:rPr>
        <w:t xml:space="preserve"> 4.</w:t>
      </w:r>
      <w:r w:rsidRPr="00F7584B">
        <w:rPr>
          <w:sz w:val="20"/>
          <w:lang w:val="en-US"/>
        </w:rPr>
        <w:t xml:space="preserve"> </w:t>
      </w:r>
      <w:r w:rsidRPr="008401F6">
        <w:rPr>
          <w:sz w:val="20"/>
          <w:lang w:val="en-US"/>
        </w:rPr>
        <w:t>Estimate of the variance components for the traits</w:t>
      </w:r>
      <w:r>
        <w:rPr>
          <w:sz w:val="20"/>
          <w:lang w:val="en-US"/>
        </w:rPr>
        <w:t>:</w:t>
      </w:r>
      <w:r w:rsidRPr="008401F6">
        <w:rPr>
          <w:sz w:val="20"/>
          <w:lang w:val="en-US"/>
        </w:rPr>
        <w:t xml:space="preserve"> stem weight of the plant (SWP), number of roots per plant (NRP), number of rot roots per plant (NRRP),</w:t>
      </w:r>
      <w:r>
        <w:rPr>
          <w:sz w:val="20"/>
          <w:lang w:val="en-US"/>
        </w:rPr>
        <w:t xml:space="preserve"> fresh </w:t>
      </w:r>
      <w:r w:rsidRPr="008401F6">
        <w:rPr>
          <w:sz w:val="20"/>
          <w:lang w:val="en-US"/>
        </w:rPr>
        <w:t>root yield (</w:t>
      </w:r>
      <w:r>
        <w:rPr>
          <w:sz w:val="20"/>
          <w:lang w:val="en-US"/>
        </w:rPr>
        <w:t>F</w:t>
      </w:r>
      <w:r w:rsidRPr="008401F6">
        <w:rPr>
          <w:sz w:val="20"/>
          <w:lang w:val="en-US"/>
        </w:rPr>
        <w:t xml:space="preserve">RY), harvest index (HI) and starch content in the roots (SCR) of 56 </w:t>
      </w:r>
      <w:r>
        <w:rPr>
          <w:sz w:val="20"/>
          <w:lang w:val="en-US"/>
        </w:rPr>
        <w:t xml:space="preserve">genotypes of </w:t>
      </w:r>
      <w:r w:rsidRPr="008401F6">
        <w:rPr>
          <w:sz w:val="20"/>
          <w:lang w:val="en-US"/>
        </w:rPr>
        <w:t>cassava (</w:t>
      </w:r>
      <w:proofErr w:type="spellStart"/>
      <w:r w:rsidRPr="008401F6">
        <w:rPr>
          <w:i/>
          <w:sz w:val="20"/>
          <w:lang w:val="en-US"/>
        </w:rPr>
        <w:t>Manihot</w:t>
      </w:r>
      <w:proofErr w:type="spellEnd"/>
      <w:r w:rsidRPr="008401F6">
        <w:rPr>
          <w:i/>
          <w:sz w:val="20"/>
          <w:lang w:val="en-US"/>
        </w:rPr>
        <w:t xml:space="preserve"> </w:t>
      </w:r>
      <w:proofErr w:type="spellStart"/>
      <w:r w:rsidRPr="008401F6">
        <w:rPr>
          <w:i/>
          <w:sz w:val="20"/>
          <w:lang w:val="en-US"/>
        </w:rPr>
        <w:t>esculenta</w:t>
      </w:r>
      <w:proofErr w:type="spellEnd"/>
      <w:r w:rsidRPr="008401F6">
        <w:rPr>
          <w:sz w:val="20"/>
          <w:lang w:val="en-US"/>
        </w:rPr>
        <w:t xml:space="preserve">) that belong to a </w:t>
      </w:r>
      <w:proofErr w:type="spellStart"/>
      <w:r w:rsidRPr="008401F6">
        <w:rPr>
          <w:sz w:val="20"/>
          <w:lang w:val="en-US"/>
        </w:rPr>
        <w:t>germplasm</w:t>
      </w:r>
      <w:proofErr w:type="spellEnd"/>
      <w:r w:rsidRPr="008401F6">
        <w:rPr>
          <w:sz w:val="20"/>
          <w:lang w:val="en-US"/>
        </w:rPr>
        <w:t xml:space="preserve"> bank in Eastern Amazon, </w:t>
      </w:r>
      <w:proofErr w:type="spellStart"/>
      <w:r w:rsidRPr="008401F6">
        <w:rPr>
          <w:sz w:val="20"/>
          <w:lang w:val="en-US"/>
        </w:rPr>
        <w:t>Pará</w:t>
      </w:r>
      <w:proofErr w:type="spellEnd"/>
      <w:r w:rsidRPr="008401F6">
        <w:rPr>
          <w:sz w:val="20"/>
          <w:lang w:val="en-US"/>
        </w:rPr>
        <w:t xml:space="preserve">, Brazil. </w:t>
      </w:r>
      <w:r>
        <w:rPr>
          <w:sz w:val="20"/>
          <w:lang w:val="en-US"/>
        </w:rPr>
        <w:t>Genotypes</w:t>
      </w:r>
      <w:r w:rsidRPr="008401F6">
        <w:rPr>
          <w:sz w:val="20"/>
          <w:lang w:val="en-US"/>
        </w:rPr>
        <w:t xml:space="preserve"> </w:t>
      </w:r>
      <w:proofErr w:type="gramStart"/>
      <w:r w:rsidRPr="008401F6">
        <w:rPr>
          <w:sz w:val="20"/>
          <w:lang w:val="en-US"/>
        </w:rPr>
        <w:t>were analyzed</w:t>
      </w:r>
      <w:proofErr w:type="gramEnd"/>
      <w:r w:rsidRPr="008401F6">
        <w:rPr>
          <w:sz w:val="20"/>
          <w:lang w:val="en-US"/>
        </w:rPr>
        <w:t xml:space="preserve"> in a trial established in augmented blocks design with two common treatments and repeated in two years in </w:t>
      </w:r>
      <w:proofErr w:type="spellStart"/>
      <w:r w:rsidRPr="008401F6">
        <w:rPr>
          <w:sz w:val="20"/>
          <w:lang w:val="en-US"/>
        </w:rPr>
        <w:t>Igarapé-Açu</w:t>
      </w:r>
      <w:proofErr w:type="spellEnd"/>
      <w:r w:rsidRPr="008401F6">
        <w:rPr>
          <w:sz w:val="20"/>
          <w:lang w:val="en-US"/>
        </w:rPr>
        <w:t xml:space="preserve">, Brazil.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9"/>
        <w:gridCol w:w="1134"/>
        <w:gridCol w:w="1363"/>
        <w:gridCol w:w="1276"/>
        <w:gridCol w:w="1188"/>
        <w:gridCol w:w="1222"/>
      </w:tblGrid>
      <w:tr w:rsidR="00A11F97" w:rsidTr="00B572F0">
        <w:trPr>
          <w:jc w:val="center"/>
        </w:trPr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</w:tcPr>
          <w:p w:rsidR="00A11F97" w:rsidRPr="008401F6" w:rsidRDefault="00A11F97" w:rsidP="00B572F0">
            <w:pPr>
              <w:spacing w:after="0" w:line="240" w:lineRule="auto"/>
              <w:jc w:val="center"/>
            </w:pPr>
            <w:proofErr w:type="spellStart"/>
            <w:r w:rsidRPr="008401F6">
              <w:t>Estimate</w:t>
            </w:r>
            <w:proofErr w:type="spellEnd"/>
            <w:r w:rsidRPr="008401F6">
              <w:rPr>
                <w:vertAlign w:val="superscript"/>
              </w:rPr>
              <w:t>(1)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1F97" w:rsidRPr="008401F6" w:rsidRDefault="00A11F97" w:rsidP="00B572F0">
            <w:pPr>
              <w:spacing w:after="0" w:line="240" w:lineRule="auto"/>
              <w:jc w:val="center"/>
            </w:pPr>
            <w:r>
              <w:t>F</w:t>
            </w:r>
            <w:r w:rsidRPr="008401F6">
              <w:t>RY</w:t>
            </w:r>
            <w:r w:rsidRPr="008401F6">
              <w:rPr>
                <w:vertAlign w:val="superscript"/>
              </w:rPr>
              <w:t>(#)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A11F97" w:rsidRPr="008401F6" w:rsidRDefault="00A11F97" w:rsidP="00B572F0">
            <w:pPr>
              <w:spacing w:after="0" w:line="240" w:lineRule="auto"/>
              <w:jc w:val="center"/>
            </w:pPr>
            <w:r w:rsidRPr="008401F6">
              <w:t>SWP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1F97" w:rsidRPr="008401F6" w:rsidRDefault="00A11F97" w:rsidP="00B572F0">
            <w:pPr>
              <w:spacing w:after="0" w:line="240" w:lineRule="auto"/>
              <w:jc w:val="center"/>
            </w:pPr>
            <w:r w:rsidRPr="008401F6">
              <w:t>NRP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A11F97" w:rsidRPr="008401F6" w:rsidRDefault="00A11F97" w:rsidP="00B572F0">
            <w:pPr>
              <w:spacing w:after="0" w:line="240" w:lineRule="auto"/>
              <w:jc w:val="center"/>
            </w:pPr>
            <w:r w:rsidRPr="008401F6">
              <w:t>HI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A11F97" w:rsidRPr="008401F6" w:rsidRDefault="00A11F97" w:rsidP="00B572F0">
            <w:pPr>
              <w:spacing w:after="0" w:line="240" w:lineRule="auto"/>
              <w:jc w:val="center"/>
            </w:pPr>
            <w:r w:rsidRPr="008401F6">
              <w:t>SCR</w:t>
            </w:r>
          </w:p>
        </w:tc>
      </w:tr>
      <w:tr w:rsidR="00A11F97" w:rsidTr="00B572F0">
        <w:trPr>
          <w:jc w:val="center"/>
        </w:trPr>
        <w:tc>
          <w:tcPr>
            <w:tcW w:w="2499" w:type="dxa"/>
            <w:tcBorders>
              <w:top w:val="single" w:sz="4" w:space="0" w:color="auto"/>
            </w:tcBorders>
          </w:tcPr>
          <w:p w:rsidR="00A11F97" w:rsidRPr="008401F6" w:rsidRDefault="00A11F97" w:rsidP="00B572F0">
            <w:pPr>
              <w:spacing w:after="0" w:line="240" w:lineRule="auto"/>
              <w:jc w:val="center"/>
            </w:pPr>
            <w:r w:rsidRPr="008401F6">
              <w:rPr>
                <w:position w:val="-12"/>
              </w:rPr>
              <w:object w:dxaOrig="26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pt;height:17.55pt" o:ole="" fillcolor="window">
                  <v:imagedata r:id="rId4" o:title=""/>
                </v:shape>
                <o:OLEObject Type="Embed" ProgID="Equation.3" ShapeID="_x0000_i1025" DrawAspect="Content" ObjectID="_1509200292" r:id="rId5"/>
              </w:object>
            </w:r>
            <w:r w:rsidRPr="008401F6">
              <w:t>±s</w:t>
            </w:r>
            <w:r w:rsidRPr="008401F6">
              <w:rPr>
                <w:position w:val="-12"/>
              </w:rPr>
              <w:object w:dxaOrig="260" w:dyaOrig="340">
                <v:shape id="_x0000_i1026" type="#_x0000_t75" style="width:17.55pt;height:17.55pt" o:ole="" fillcolor="window">
                  <v:imagedata r:id="rId6" o:title=""/>
                </v:shape>
                <o:OLEObject Type="Embed" ProgID="Equation.3" ShapeID="_x0000_i1026" DrawAspect="Content" ObjectID="_1509200293" r:id="rId7"/>
              </w:objec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11F97" w:rsidRPr="008401F6" w:rsidRDefault="00A11F97" w:rsidP="00B572F0">
            <w:pPr>
              <w:spacing w:after="0" w:line="240" w:lineRule="auto"/>
              <w:jc w:val="center"/>
            </w:pPr>
            <w:r w:rsidRPr="008401F6">
              <w:t>0.10±0.07</w:t>
            </w: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A11F97" w:rsidRPr="008401F6" w:rsidRDefault="00A11F97" w:rsidP="00B572F0">
            <w:pPr>
              <w:spacing w:after="0" w:line="240" w:lineRule="auto"/>
              <w:jc w:val="center"/>
            </w:pPr>
            <w:r w:rsidRPr="008401F6">
              <w:t>0.27 ±0.12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11F97" w:rsidRPr="008401F6" w:rsidRDefault="00A11F97" w:rsidP="00B572F0">
            <w:pPr>
              <w:spacing w:after="0" w:line="240" w:lineRule="auto"/>
              <w:jc w:val="center"/>
            </w:pPr>
            <w:r w:rsidRPr="008401F6">
              <w:t>0.46 ±0.16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A11F97" w:rsidRPr="008401F6" w:rsidRDefault="00A11F97" w:rsidP="00B572F0">
            <w:pPr>
              <w:spacing w:after="0" w:line="240" w:lineRule="auto"/>
              <w:jc w:val="center"/>
            </w:pPr>
            <w:r w:rsidRPr="008401F6">
              <w:t>0.43 ±0.15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A11F97" w:rsidRPr="008401F6" w:rsidRDefault="00A11F97" w:rsidP="00B572F0">
            <w:pPr>
              <w:spacing w:after="0" w:line="240" w:lineRule="auto"/>
              <w:jc w:val="center"/>
            </w:pPr>
            <w:r w:rsidRPr="008401F6">
              <w:t>0.26 ±0.12</w:t>
            </w:r>
          </w:p>
        </w:tc>
      </w:tr>
      <w:tr w:rsidR="00A11F97" w:rsidTr="00B572F0">
        <w:trPr>
          <w:jc w:val="center"/>
        </w:trPr>
        <w:tc>
          <w:tcPr>
            <w:tcW w:w="2499" w:type="dxa"/>
          </w:tcPr>
          <w:p w:rsidR="00A11F97" w:rsidRPr="008401F6" w:rsidRDefault="00A11F97" w:rsidP="00B572F0">
            <w:pPr>
              <w:tabs>
                <w:tab w:val="left" w:pos="1495"/>
              </w:tabs>
              <w:spacing w:after="0" w:line="240" w:lineRule="auto"/>
              <w:jc w:val="center"/>
            </w:pPr>
            <w:r w:rsidRPr="008401F6">
              <w:rPr>
                <w:position w:val="-12"/>
              </w:rPr>
              <w:object w:dxaOrig="740" w:dyaOrig="300">
                <v:shape id="_x0000_i1027" type="#_x0000_t75" style="width:37.5pt;height:15.15pt" o:ole="" fillcolor="window">
                  <v:imagedata r:id="rId8" o:title=""/>
                </v:shape>
                <o:OLEObject Type="Embed" ProgID="Equation.3" ShapeID="_x0000_i1027" DrawAspect="Content" ObjectID="_1509200294" r:id="rId9"/>
              </w:object>
            </w:r>
          </w:p>
        </w:tc>
        <w:tc>
          <w:tcPr>
            <w:tcW w:w="1134" w:type="dxa"/>
          </w:tcPr>
          <w:p w:rsidR="00A11F97" w:rsidRPr="008401F6" w:rsidRDefault="00A11F97" w:rsidP="00B572F0">
            <w:pPr>
              <w:spacing w:after="0" w:line="240" w:lineRule="auto"/>
              <w:jc w:val="center"/>
            </w:pPr>
            <w:r w:rsidRPr="008401F6">
              <w:t>19.32</w:t>
            </w:r>
          </w:p>
        </w:tc>
        <w:tc>
          <w:tcPr>
            <w:tcW w:w="1363" w:type="dxa"/>
          </w:tcPr>
          <w:p w:rsidR="00A11F97" w:rsidRPr="008401F6" w:rsidRDefault="00A11F97" w:rsidP="00B572F0">
            <w:pPr>
              <w:spacing w:after="0" w:line="240" w:lineRule="auto"/>
              <w:jc w:val="center"/>
            </w:pPr>
            <w:r w:rsidRPr="008401F6">
              <w:t>34.0</w:t>
            </w:r>
          </w:p>
        </w:tc>
        <w:tc>
          <w:tcPr>
            <w:tcW w:w="1276" w:type="dxa"/>
          </w:tcPr>
          <w:p w:rsidR="00A11F97" w:rsidRPr="008401F6" w:rsidRDefault="00A11F97" w:rsidP="00B572F0">
            <w:pPr>
              <w:spacing w:after="0" w:line="240" w:lineRule="auto"/>
              <w:jc w:val="center"/>
            </w:pPr>
            <w:r w:rsidRPr="008401F6">
              <w:t>25.6</w:t>
            </w:r>
          </w:p>
        </w:tc>
        <w:tc>
          <w:tcPr>
            <w:tcW w:w="1188" w:type="dxa"/>
          </w:tcPr>
          <w:p w:rsidR="00A11F97" w:rsidRPr="008401F6" w:rsidRDefault="00A11F97" w:rsidP="00B572F0">
            <w:pPr>
              <w:spacing w:after="0" w:line="240" w:lineRule="auto"/>
              <w:jc w:val="center"/>
            </w:pPr>
            <w:r w:rsidRPr="008401F6">
              <w:t>14.4</w:t>
            </w:r>
          </w:p>
        </w:tc>
        <w:tc>
          <w:tcPr>
            <w:tcW w:w="1222" w:type="dxa"/>
          </w:tcPr>
          <w:p w:rsidR="00A11F97" w:rsidRPr="008401F6" w:rsidRDefault="00A11F97" w:rsidP="00B572F0">
            <w:pPr>
              <w:spacing w:after="0" w:line="240" w:lineRule="auto"/>
              <w:jc w:val="center"/>
            </w:pPr>
            <w:r w:rsidRPr="008401F6">
              <w:t>5.5</w:t>
            </w:r>
          </w:p>
        </w:tc>
      </w:tr>
      <w:tr w:rsidR="00A11F97" w:rsidTr="00B572F0">
        <w:trPr>
          <w:jc w:val="center"/>
        </w:trPr>
        <w:tc>
          <w:tcPr>
            <w:tcW w:w="2499" w:type="dxa"/>
          </w:tcPr>
          <w:p w:rsidR="00A11F97" w:rsidRPr="008401F6" w:rsidRDefault="00A11F97" w:rsidP="00B572F0">
            <w:pPr>
              <w:spacing w:after="0" w:line="240" w:lineRule="auto"/>
              <w:jc w:val="center"/>
            </w:pPr>
            <w:proofErr w:type="spellStart"/>
            <w:r w:rsidRPr="008401F6">
              <w:t>Selective</w:t>
            </w:r>
            <w:proofErr w:type="spellEnd"/>
            <w:r w:rsidRPr="008401F6">
              <w:t xml:space="preserve"> </w:t>
            </w:r>
            <w:proofErr w:type="spellStart"/>
            <w:r w:rsidRPr="008401F6">
              <w:t>accuracy</w:t>
            </w:r>
            <w:proofErr w:type="spellEnd"/>
          </w:p>
        </w:tc>
        <w:tc>
          <w:tcPr>
            <w:tcW w:w="1134" w:type="dxa"/>
          </w:tcPr>
          <w:p w:rsidR="00A11F97" w:rsidRPr="008401F6" w:rsidRDefault="00A11F97" w:rsidP="00B572F0">
            <w:pPr>
              <w:spacing w:after="0" w:line="240" w:lineRule="auto"/>
              <w:jc w:val="center"/>
            </w:pPr>
            <w:r w:rsidRPr="008401F6">
              <w:t>0.42</w:t>
            </w:r>
          </w:p>
        </w:tc>
        <w:tc>
          <w:tcPr>
            <w:tcW w:w="1363" w:type="dxa"/>
          </w:tcPr>
          <w:p w:rsidR="00A11F97" w:rsidRPr="008401F6" w:rsidRDefault="00A11F97" w:rsidP="00B572F0">
            <w:pPr>
              <w:spacing w:after="0" w:line="240" w:lineRule="auto"/>
              <w:jc w:val="center"/>
            </w:pPr>
            <w:r w:rsidRPr="008401F6">
              <w:t>0.70</w:t>
            </w:r>
          </w:p>
        </w:tc>
        <w:tc>
          <w:tcPr>
            <w:tcW w:w="1276" w:type="dxa"/>
          </w:tcPr>
          <w:p w:rsidR="00A11F97" w:rsidRPr="008401F6" w:rsidRDefault="00A11F97" w:rsidP="00B572F0">
            <w:pPr>
              <w:spacing w:after="0" w:line="240" w:lineRule="auto"/>
              <w:jc w:val="center"/>
            </w:pPr>
            <w:r w:rsidRPr="008401F6">
              <w:t>0.81</w:t>
            </w:r>
          </w:p>
        </w:tc>
        <w:tc>
          <w:tcPr>
            <w:tcW w:w="1188" w:type="dxa"/>
          </w:tcPr>
          <w:p w:rsidR="00A11F97" w:rsidRPr="008401F6" w:rsidRDefault="00A11F97" w:rsidP="00B572F0">
            <w:pPr>
              <w:spacing w:after="0" w:line="240" w:lineRule="auto"/>
              <w:jc w:val="center"/>
            </w:pPr>
            <w:r w:rsidRPr="008401F6">
              <w:t>0.80</w:t>
            </w:r>
          </w:p>
        </w:tc>
        <w:tc>
          <w:tcPr>
            <w:tcW w:w="1222" w:type="dxa"/>
          </w:tcPr>
          <w:p w:rsidR="00A11F97" w:rsidRPr="008401F6" w:rsidRDefault="00A11F97" w:rsidP="00B572F0">
            <w:pPr>
              <w:spacing w:after="0" w:line="240" w:lineRule="auto"/>
              <w:jc w:val="center"/>
            </w:pPr>
            <w:r w:rsidRPr="008401F6">
              <w:t>0.65</w:t>
            </w:r>
          </w:p>
        </w:tc>
      </w:tr>
      <w:tr w:rsidR="00A11F97" w:rsidTr="00B572F0">
        <w:trPr>
          <w:jc w:val="center"/>
        </w:trPr>
        <w:tc>
          <w:tcPr>
            <w:tcW w:w="2499" w:type="dxa"/>
          </w:tcPr>
          <w:p w:rsidR="00A11F97" w:rsidRPr="008401F6" w:rsidRDefault="00A11F97" w:rsidP="00B572F0">
            <w:pPr>
              <w:spacing w:after="0" w:line="240" w:lineRule="auto"/>
              <w:jc w:val="center"/>
            </w:pPr>
            <w:r w:rsidRPr="008401F6">
              <w:t xml:space="preserve">General </w:t>
            </w:r>
            <w:proofErr w:type="spellStart"/>
            <w:r w:rsidRPr="008401F6">
              <w:t>mean</w:t>
            </w:r>
            <w:proofErr w:type="spellEnd"/>
          </w:p>
        </w:tc>
        <w:tc>
          <w:tcPr>
            <w:tcW w:w="1134" w:type="dxa"/>
          </w:tcPr>
          <w:p w:rsidR="00A11F97" w:rsidRPr="008401F6" w:rsidRDefault="00A11F97" w:rsidP="00B572F0">
            <w:pPr>
              <w:spacing w:after="0" w:line="240" w:lineRule="auto"/>
              <w:jc w:val="center"/>
            </w:pPr>
            <w:r w:rsidRPr="008401F6">
              <w:t>15.27</w:t>
            </w:r>
          </w:p>
        </w:tc>
        <w:tc>
          <w:tcPr>
            <w:tcW w:w="1363" w:type="dxa"/>
          </w:tcPr>
          <w:p w:rsidR="00A11F97" w:rsidRPr="008401F6" w:rsidRDefault="00A11F97" w:rsidP="00B572F0">
            <w:pPr>
              <w:spacing w:after="0" w:line="240" w:lineRule="auto"/>
              <w:jc w:val="center"/>
            </w:pPr>
            <w:r w:rsidRPr="008401F6">
              <w:t>11.7</w:t>
            </w:r>
          </w:p>
        </w:tc>
        <w:tc>
          <w:tcPr>
            <w:tcW w:w="1276" w:type="dxa"/>
          </w:tcPr>
          <w:p w:rsidR="00A11F97" w:rsidRPr="008401F6" w:rsidRDefault="00A11F97" w:rsidP="00B572F0">
            <w:pPr>
              <w:spacing w:after="0" w:line="240" w:lineRule="auto"/>
              <w:jc w:val="center"/>
            </w:pPr>
            <w:r w:rsidRPr="008401F6">
              <w:t>35.3</w:t>
            </w:r>
          </w:p>
        </w:tc>
        <w:tc>
          <w:tcPr>
            <w:tcW w:w="1188" w:type="dxa"/>
          </w:tcPr>
          <w:p w:rsidR="00A11F97" w:rsidRPr="008401F6" w:rsidRDefault="00A11F97" w:rsidP="00B572F0">
            <w:pPr>
              <w:spacing w:after="0" w:line="240" w:lineRule="auto"/>
              <w:jc w:val="center"/>
            </w:pPr>
            <w:r w:rsidRPr="008401F6">
              <w:t>56.4</w:t>
            </w:r>
          </w:p>
        </w:tc>
        <w:tc>
          <w:tcPr>
            <w:tcW w:w="1222" w:type="dxa"/>
          </w:tcPr>
          <w:p w:rsidR="00A11F97" w:rsidRPr="008401F6" w:rsidRDefault="00A11F97" w:rsidP="00B572F0">
            <w:pPr>
              <w:spacing w:after="0" w:line="240" w:lineRule="auto"/>
              <w:jc w:val="center"/>
            </w:pPr>
            <w:r w:rsidRPr="008401F6">
              <w:t>29.6</w:t>
            </w:r>
          </w:p>
        </w:tc>
      </w:tr>
      <w:tr w:rsidR="00A11F97" w:rsidTr="00B572F0">
        <w:trPr>
          <w:jc w:val="center"/>
        </w:trPr>
        <w:tc>
          <w:tcPr>
            <w:tcW w:w="2499" w:type="dxa"/>
          </w:tcPr>
          <w:p w:rsidR="00A11F97" w:rsidRPr="008401F6" w:rsidRDefault="00A11F97" w:rsidP="00B572F0">
            <w:pPr>
              <w:spacing w:after="0" w:line="240" w:lineRule="auto"/>
              <w:jc w:val="center"/>
            </w:pPr>
            <w:r w:rsidRPr="008401F6">
              <w:rPr>
                <w:position w:val="-10"/>
              </w:rPr>
              <w:object w:dxaOrig="740" w:dyaOrig="300">
                <v:shape id="_x0000_i1028" type="#_x0000_t75" style="width:37.5pt;height:14.5pt" o:ole="" fillcolor="window">
                  <v:imagedata r:id="rId10" o:title=""/>
                </v:shape>
                <o:OLEObject Type="Embed" ProgID="Equation.3" ShapeID="_x0000_i1028" DrawAspect="Content" ObjectID="_1509200295" r:id="rId11"/>
              </w:object>
            </w:r>
          </w:p>
        </w:tc>
        <w:tc>
          <w:tcPr>
            <w:tcW w:w="1134" w:type="dxa"/>
          </w:tcPr>
          <w:p w:rsidR="00A11F97" w:rsidRPr="008401F6" w:rsidRDefault="00A11F97" w:rsidP="00B572F0">
            <w:pPr>
              <w:spacing w:after="0" w:line="240" w:lineRule="auto"/>
              <w:jc w:val="center"/>
            </w:pPr>
            <w:r w:rsidRPr="008401F6">
              <w:t>44.5</w:t>
            </w:r>
          </w:p>
        </w:tc>
        <w:tc>
          <w:tcPr>
            <w:tcW w:w="1363" w:type="dxa"/>
          </w:tcPr>
          <w:p w:rsidR="00A11F97" w:rsidRPr="008401F6" w:rsidRDefault="00A11F97" w:rsidP="00B572F0">
            <w:pPr>
              <w:spacing w:after="0" w:line="240" w:lineRule="auto"/>
              <w:jc w:val="center"/>
            </w:pPr>
            <w:r w:rsidRPr="008401F6">
              <w:t>53.6</w:t>
            </w:r>
          </w:p>
        </w:tc>
        <w:tc>
          <w:tcPr>
            <w:tcW w:w="1276" w:type="dxa"/>
          </w:tcPr>
          <w:p w:rsidR="00A11F97" w:rsidRPr="008401F6" w:rsidRDefault="00A11F97" w:rsidP="00B572F0">
            <w:pPr>
              <w:spacing w:after="0" w:line="240" w:lineRule="auto"/>
              <w:jc w:val="center"/>
            </w:pPr>
            <w:r w:rsidRPr="008401F6">
              <w:t>32.0</w:t>
            </w:r>
          </w:p>
        </w:tc>
        <w:tc>
          <w:tcPr>
            <w:tcW w:w="1188" w:type="dxa"/>
          </w:tcPr>
          <w:p w:rsidR="00A11F97" w:rsidRPr="008401F6" w:rsidRDefault="00A11F97" w:rsidP="00B572F0">
            <w:pPr>
              <w:spacing w:after="0" w:line="240" w:lineRule="auto"/>
              <w:jc w:val="center"/>
            </w:pPr>
            <w:r w:rsidRPr="008401F6">
              <w:t>18.4</w:t>
            </w:r>
          </w:p>
        </w:tc>
        <w:tc>
          <w:tcPr>
            <w:tcW w:w="1222" w:type="dxa"/>
          </w:tcPr>
          <w:p w:rsidR="00A11F97" w:rsidRPr="008401F6" w:rsidRDefault="00A11F97" w:rsidP="00B572F0">
            <w:pPr>
              <w:spacing w:after="0" w:line="240" w:lineRule="auto"/>
              <w:jc w:val="center"/>
            </w:pPr>
            <w:r w:rsidRPr="008401F6">
              <w:t>8.5</w:t>
            </w:r>
          </w:p>
        </w:tc>
      </w:tr>
      <w:tr w:rsidR="00A11F97" w:rsidTr="00B572F0">
        <w:trPr>
          <w:jc w:val="center"/>
        </w:trPr>
        <w:tc>
          <w:tcPr>
            <w:tcW w:w="2499" w:type="dxa"/>
            <w:tcBorders>
              <w:bottom w:val="single" w:sz="4" w:space="0" w:color="auto"/>
            </w:tcBorders>
          </w:tcPr>
          <w:p w:rsidR="00A11F97" w:rsidRPr="008401F6" w:rsidRDefault="00A11F97" w:rsidP="00B572F0">
            <w:pPr>
              <w:spacing w:after="0" w:line="240" w:lineRule="auto"/>
              <w:jc w:val="center"/>
            </w:pPr>
            <w:proofErr w:type="spellStart"/>
            <w:r w:rsidRPr="008401F6">
              <w:t>Number</w:t>
            </w:r>
            <w:proofErr w:type="spellEnd"/>
            <w:r w:rsidRPr="008401F6">
              <w:t xml:space="preserve"> </w:t>
            </w:r>
            <w:proofErr w:type="spellStart"/>
            <w:r w:rsidRPr="008401F6">
              <w:t>of</w:t>
            </w:r>
            <w:proofErr w:type="spellEnd"/>
            <w:r w:rsidRPr="008401F6">
              <w:t xml:space="preserve"> </w:t>
            </w:r>
            <w:proofErr w:type="spellStart"/>
            <w:r w:rsidRPr="008401F6">
              <w:t>repetitions</w:t>
            </w:r>
            <w:proofErr w:type="spellEnd"/>
            <w:r w:rsidRPr="008401F6">
              <w:rPr>
                <w:vertAlign w:val="superscript"/>
              </w:rPr>
              <w:t>(2)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F97" w:rsidRPr="008401F6" w:rsidRDefault="00A11F97" w:rsidP="00B572F0">
            <w:pPr>
              <w:spacing w:after="0" w:line="240" w:lineRule="auto"/>
              <w:jc w:val="center"/>
            </w:pPr>
            <w:r w:rsidRPr="008401F6">
              <w:t>10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A11F97" w:rsidRPr="008401F6" w:rsidRDefault="00A11F97" w:rsidP="00B572F0">
            <w:pPr>
              <w:spacing w:after="0" w:line="240" w:lineRule="auto"/>
              <w:jc w:val="center"/>
            </w:pPr>
            <w:r w:rsidRPr="008401F6">
              <w:t>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11F97" w:rsidRPr="008401F6" w:rsidRDefault="00A11F97" w:rsidP="00B572F0">
            <w:pPr>
              <w:spacing w:after="0" w:line="240" w:lineRule="auto"/>
              <w:jc w:val="center"/>
            </w:pPr>
            <w:r w:rsidRPr="008401F6">
              <w:t>02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A11F97" w:rsidRPr="008401F6" w:rsidRDefault="00A11F97" w:rsidP="00B572F0">
            <w:pPr>
              <w:spacing w:after="0" w:line="240" w:lineRule="auto"/>
              <w:jc w:val="center"/>
            </w:pPr>
            <w:r w:rsidRPr="008401F6">
              <w:t>02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A11F97" w:rsidRPr="008401F6" w:rsidRDefault="00A11F97" w:rsidP="00B572F0">
            <w:pPr>
              <w:spacing w:after="0" w:line="240" w:lineRule="auto"/>
              <w:jc w:val="center"/>
            </w:pPr>
            <w:r w:rsidRPr="008401F6">
              <w:t>06</w:t>
            </w:r>
          </w:p>
        </w:tc>
      </w:tr>
    </w:tbl>
    <w:p w:rsidR="00A11F97" w:rsidRPr="00A11F97" w:rsidRDefault="00A11F97" w:rsidP="00A11F97">
      <w:pPr>
        <w:spacing w:after="0" w:line="240" w:lineRule="auto"/>
        <w:jc w:val="both"/>
        <w:rPr>
          <w:color w:val="4472C4" w:themeColor="accent5"/>
          <w:sz w:val="20"/>
          <w:szCs w:val="20"/>
          <w:lang w:val="en-US"/>
        </w:rPr>
      </w:pPr>
      <w:r w:rsidRPr="008401F6">
        <w:rPr>
          <w:sz w:val="20"/>
          <w:szCs w:val="20"/>
          <w:vertAlign w:val="superscript"/>
          <w:lang w:val="en-US"/>
        </w:rPr>
        <w:t>(1)</w:t>
      </w:r>
      <w:r w:rsidRPr="008401F6">
        <w:rPr>
          <w:sz w:val="20"/>
          <w:szCs w:val="20"/>
          <w:lang w:val="en-US"/>
        </w:rPr>
        <w:t xml:space="preserve">Coefficient of broad-sense </w:t>
      </w:r>
      <w:proofErr w:type="spellStart"/>
      <w:r w:rsidRPr="008401F6">
        <w:rPr>
          <w:sz w:val="20"/>
          <w:szCs w:val="20"/>
          <w:lang w:val="en-US"/>
        </w:rPr>
        <w:t>heritabilitities</w:t>
      </w:r>
      <w:proofErr w:type="spellEnd"/>
      <w:r w:rsidRPr="008401F6">
        <w:rPr>
          <w:sz w:val="20"/>
          <w:szCs w:val="20"/>
          <w:lang w:val="en-US"/>
        </w:rPr>
        <w:t xml:space="preserve"> at individual plot (</w:t>
      </w:r>
      <w:r w:rsidRPr="008401F6">
        <w:rPr>
          <w:position w:val="-12"/>
          <w:sz w:val="20"/>
          <w:szCs w:val="20"/>
        </w:rPr>
        <w:object w:dxaOrig="260" w:dyaOrig="340">
          <v:shape id="_x0000_i1029" type="#_x0000_t75" style="width:13.9pt;height:17.55pt" o:ole="" fillcolor="window">
            <v:imagedata r:id="rId12" o:title=""/>
          </v:shape>
          <o:OLEObject Type="Embed" ProgID="Equation.3" ShapeID="_x0000_i1029" DrawAspect="Content" ObjectID="_1509200296" r:id="rId13"/>
        </w:object>
      </w:r>
      <w:r w:rsidRPr="008401F6">
        <w:rPr>
          <w:sz w:val="20"/>
          <w:szCs w:val="20"/>
          <w:lang w:val="en-US"/>
        </w:rPr>
        <w:t>), standard deviation of heritability (±s</w:t>
      </w:r>
      <w:r w:rsidRPr="008401F6">
        <w:rPr>
          <w:position w:val="-12"/>
          <w:sz w:val="20"/>
          <w:szCs w:val="20"/>
        </w:rPr>
        <w:object w:dxaOrig="260" w:dyaOrig="340">
          <v:shape id="_x0000_i1030" type="#_x0000_t75" style="width:12.7pt;height:17.55pt" o:ole="" fillcolor="window">
            <v:imagedata r:id="rId12" o:title=""/>
          </v:shape>
          <o:OLEObject Type="Embed" ProgID="Equation.3" ShapeID="_x0000_i1030" DrawAspect="Content" ObjectID="_1509200297" r:id="rId14"/>
        </w:object>
      </w:r>
      <w:r w:rsidRPr="008401F6">
        <w:rPr>
          <w:sz w:val="20"/>
          <w:szCs w:val="20"/>
          <w:lang w:val="en-US"/>
        </w:rPr>
        <w:t>), of genotypic variation (</w:t>
      </w:r>
      <w:r w:rsidRPr="008401F6">
        <w:rPr>
          <w:position w:val="-12"/>
          <w:sz w:val="20"/>
          <w:szCs w:val="20"/>
        </w:rPr>
        <w:object w:dxaOrig="420" w:dyaOrig="300">
          <v:shape id="_x0000_i1031" type="#_x0000_t75" style="width:21.2pt;height:15.15pt" o:ole="" fillcolor="window">
            <v:imagedata r:id="rId15" o:title=""/>
          </v:shape>
          <o:OLEObject Type="Embed" ProgID="Equation.3" ShapeID="_x0000_i1031" DrawAspect="Content" ObjectID="_1509200298" r:id="rId16"/>
        </w:object>
      </w:r>
      <w:r w:rsidRPr="008401F6">
        <w:rPr>
          <w:sz w:val="20"/>
          <w:szCs w:val="20"/>
          <w:lang w:val="en-US"/>
        </w:rPr>
        <w:t>%) and of experimental variation (</w:t>
      </w:r>
      <w:r w:rsidRPr="008401F6">
        <w:rPr>
          <w:position w:val="-8"/>
          <w:sz w:val="20"/>
          <w:szCs w:val="20"/>
        </w:rPr>
        <w:object w:dxaOrig="420" w:dyaOrig="260">
          <v:shape id="_x0000_i1032" type="#_x0000_t75" style="width:21.2pt;height:13.3pt" o:ole="" fillcolor="window">
            <v:imagedata r:id="rId17" o:title=""/>
          </v:shape>
          <o:OLEObject Type="Embed" ProgID="Equation.3" ShapeID="_x0000_i1032" DrawAspect="Content" ObjectID="_1509200299" r:id="rId18"/>
        </w:object>
      </w:r>
      <w:r w:rsidRPr="008401F6">
        <w:rPr>
          <w:sz w:val="20"/>
          <w:szCs w:val="20"/>
          <w:lang w:val="en-US"/>
        </w:rPr>
        <w:t xml:space="preserve">%). </w:t>
      </w:r>
      <w:r w:rsidRPr="008401F6">
        <w:rPr>
          <w:sz w:val="20"/>
          <w:szCs w:val="20"/>
          <w:vertAlign w:val="superscript"/>
          <w:lang w:val="en-US"/>
        </w:rPr>
        <w:t>(2)</w:t>
      </w:r>
      <w:r w:rsidRPr="008401F6">
        <w:rPr>
          <w:sz w:val="20"/>
          <w:szCs w:val="20"/>
          <w:lang w:val="en-US"/>
        </w:rPr>
        <w:t xml:space="preserve">Number of repetitions based on the formula described by </w:t>
      </w:r>
      <w:proofErr w:type="spellStart"/>
      <w:r w:rsidRPr="008401F6">
        <w:rPr>
          <w:sz w:val="20"/>
          <w:szCs w:val="20"/>
          <w:lang w:val="en-US"/>
        </w:rPr>
        <w:t>Resende</w:t>
      </w:r>
      <w:proofErr w:type="spellEnd"/>
      <w:r w:rsidRPr="008401F6">
        <w:rPr>
          <w:sz w:val="20"/>
          <w:szCs w:val="20"/>
          <w:lang w:val="en-US"/>
        </w:rPr>
        <w:t xml:space="preserve"> &amp; Barbosa (2005). </w:t>
      </w:r>
      <w:r w:rsidRPr="008401F6">
        <w:rPr>
          <w:sz w:val="20"/>
          <w:szCs w:val="20"/>
          <w:vertAlign w:val="superscript"/>
          <w:lang w:val="en-US"/>
        </w:rPr>
        <w:t>(#)</w:t>
      </w:r>
      <w:r w:rsidRPr="00802F61">
        <w:rPr>
          <w:sz w:val="20"/>
          <w:szCs w:val="20"/>
          <w:lang w:val="en-US"/>
        </w:rPr>
        <w:t>F</w:t>
      </w:r>
      <w:r w:rsidRPr="008401F6">
        <w:rPr>
          <w:sz w:val="20"/>
          <w:szCs w:val="20"/>
          <w:lang w:val="en-US"/>
        </w:rPr>
        <w:t xml:space="preserve">RY, not significant character; </w:t>
      </w:r>
      <w:r w:rsidRPr="008401F6">
        <w:rPr>
          <w:sz w:val="20"/>
          <w:lang w:val="en-US"/>
        </w:rPr>
        <w:t xml:space="preserve">distribution for </w:t>
      </w:r>
      <w:proofErr w:type="gramStart"/>
      <w:r w:rsidRPr="008401F6">
        <w:rPr>
          <w:sz w:val="20"/>
          <w:lang w:val="en-US"/>
        </w:rPr>
        <w:t>1</w:t>
      </w:r>
      <w:proofErr w:type="gramEnd"/>
      <w:r w:rsidRPr="008401F6">
        <w:rPr>
          <w:sz w:val="20"/>
          <w:lang w:val="en-US"/>
        </w:rPr>
        <w:t xml:space="preserve"> degree of freedom</w:t>
      </w:r>
      <w:r w:rsidRPr="008401F6">
        <w:rPr>
          <w:sz w:val="20"/>
          <w:szCs w:val="20"/>
          <w:lang w:val="en-US"/>
        </w:rPr>
        <w:t xml:space="preserve">; chi-square, 3.84 at 5% probability; analysis of deviance. </w:t>
      </w:r>
    </w:p>
    <w:p w:rsidR="006906F0" w:rsidRPr="00A11F97" w:rsidRDefault="006906F0">
      <w:pPr>
        <w:rPr>
          <w:lang w:val="en-US"/>
        </w:rPr>
      </w:pPr>
      <w:bookmarkStart w:id="0" w:name="_GoBack"/>
      <w:bookmarkEnd w:id="0"/>
    </w:p>
    <w:sectPr w:rsidR="006906F0" w:rsidRPr="00A11F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97"/>
    <w:rsid w:val="006906F0"/>
    <w:rsid w:val="00A1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024AE-6593-4EBC-82DC-86ADFD76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F97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m340863</dc:creator>
  <cp:keywords/>
  <dc:description/>
  <cp:lastModifiedBy>m340863</cp:lastModifiedBy>
  <cp:revision>1</cp:revision>
  <dcterms:created xsi:type="dcterms:W3CDTF">2015-11-16T19:17:00Z</dcterms:created>
  <dcterms:modified xsi:type="dcterms:W3CDTF">2015-11-16T19:18:00Z</dcterms:modified>
</cp:coreProperties>
</file>