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BF1A2" w14:textId="5C85F12F" w:rsidR="00C02731" w:rsidRPr="00737F90" w:rsidRDefault="00F11504" w:rsidP="001120C5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val="en-US" w:eastAsia="pt-BR"/>
        </w:rPr>
      </w:pPr>
      <w:r w:rsidRPr="00737F9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val="en-US" w:eastAsia="pt-BR"/>
        </w:rPr>
        <w:t xml:space="preserve">Supplementation of grazing beef cattle with </w:t>
      </w:r>
      <w:proofErr w:type="spellStart"/>
      <w:r w:rsidRPr="00737F9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val="en-US" w:eastAsia="pt-BR"/>
        </w:rPr>
        <w:t>narasin</w:t>
      </w:r>
      <w:proofErr w:type="spellEnd"/>
    </w:p>
    <w:p w14:paraId="16118B83" w14:textId="77777777" w:rsidR="00932EA1" w:rsidRPr="00737F90" w:rsidRDefault="00932EA1" w:rsidP="0050458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D4B498D" w14:textId="2F106746" w:rsidR="001E5D84" w:rsidRPr="00737F90" w:rsidRDefault="00192C46" w:rsidP="009B18CF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commentRangeStart w:id="0"/>
      <w:r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Luiz Guilherme </w:t>
      </w:r>
      <w:proofErr w:type="spellStart"/>
      <w:r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Mezzena</w:t>
      </w:r>
      <w:proofErr w:type="spellEnd"/>
      <w:r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Gobato</w:t>
      </w:r>
      <w:proofErr w:type="spellEnd"/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(1)</w:t>
      </w:r>
      <w:r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,</w:t>
      </w:r>
      <w:r w:rsidR="008E6863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917C6E" w:rsidRPr="006906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Daniel </w:t>
      </w:r>
      <w:proofErr w:type="spellStart"/>
      <w:r w:rsidR="00917C6E" w:rsidRPr="006906A9">
        <w:rPr>
          <w:rFonts w:ascii="Times New Roman" w:hAnsi="Times New Roman" w:cs="Times New Roman"/>
          <w:color w:val="000000" w:themeColor="text1"/>
          <w:sz w:val="24"/>
          <w:szCs w:val="24"/>
        </w:rPr>
        <w:t>Montanher</w:t>
      </w:r>
      <w:proofErr w:type="spellEnd"/>
      <w:r w:rsidR="00917C6E" w:rsidRPr="006906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17C6E" w:rsidRPr="006906A9">
        <w:rPr>
          <w:rFonts w:ascii="Times New Roman" w:hAnsi="Times New Roman" w:cs="Times New Roman"/>
          <w:color w:val="000000" w:themeColor="text1"/>
          <w:sz w:val="24"/>
          <w:szCs w:val="24"/>
        </w:rPr>
        <w:t>Polizel</w:t>
      </w:r>
      <w:proofErr w:type="spellEnd"/>
      <w:r w:rsidR="002D371E" w:rsidRPr="006906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(2)</w:t>
      </w:r>
      <w:r w:rsidR="00DB01B8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="00DB01B8" w:rsidRPr="00DB01B8">
        <w:rPr>
          <w:rFonts w:ascii="Times New Roman" w:hAnsi="Times New Roman" w:cs="Times New Roman"/>
          <w:color w:val="000000" w:themeColor="text1"/>
          <w:sz w:val="24"/>
          <w:szCs w:val="24"/>
        </w:rPr>
        <w:t>https</w:t>
      </w:r>
      <w:proofErr w:type="spellEnd"/>
      <w:r w:rsidR="00DB01B8" w:rsidRPr="00DB01B8">
        <w:rPr>
          <w:rFonts w:ascii="Times New Roman" w:hAnsi="Times New Roman" w:cs="Times New Roman"/>
          <w:color w:val="000000" w:themeColor="text1"/>
          <w:sz w:val="24"/>
          <w:szCs w:val="24"/>
        </w:rPr>
        <w:t>://orcid.org/0000-0003-4160-2596</w:t>
      </w:r>
      <w:r w:rsidR="00DB01B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17C6E" w:rsidRPr="006906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17C6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Marcos Vinícius de Castro Ferraz Júnior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(</w:t>
      </w:r>
      <w:r w:rsidR="00E41416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3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)</w:t>
      </w:r>
      <w:r w:rsidR="00917C6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, </w:t>
      </w:r>
      <w:r w:rsidR="001E5D84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Alexandre Arantes </w:t>
      </w:r>
      <w:proofErr w:type="spellStart"/>
      <w:r w:rsidR="001E5D84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Miszura</w:t>
      </w:r>
      <w:proofErr w:type="spellEnd"/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(1)</w:t>
      </w:r>
      <w:r w:rsidR="001E5D84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,</w:t>
      </w:r>
      <w:r w:rsidR="008D6E87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José Paulo Roman Barroso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(1)</w:t>
      </w:r>
      <w:r w:rsidR="008D6E87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, André </w:t>
      </w:r>
      <w:proofErr w:type="spellStart"/>
      <w:r w:rsidR="008D6E87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Storti</w:t>
      </w:r>
      <w:proofErr w:type="spellEnd"/>
      <w:r w:rsidR="008D6E87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Martins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(1)</w:t>
      </w:r>
      <w:r w:rsidR="00AE7741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,</w:t>
      </w:r>
      <w:r w:rsidR="00697C1A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José Renato Silva Gonçalves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(</w:t>
      </w:r>
      <w:r w:rsidR="00E41416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4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)</w:t>
      </w:r>
      <w:r w:rsidR="00697C1A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,</w:t>
      </w:r>
      <w:r w:rsidR="001E5D84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9067BC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Evandro Maia Ferreira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(2)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="00737F90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and</w:t>
      </w:r>
      <w:proofErr w:type="spellEnd"/>
      <w:r w:rsidR="009067BC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1E5D84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Alexandre Vaz Pires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(2)</w:t>
      </w:r>
      <w:commentRangeEnd w:id="0"/>
      <w:r w:rsidR="00183B07">
        <w:rPr>
          <w:rStyle w:val="Refdecomentrio"/>
        </w:rPr>
        <w:commentReference w:id="0"/>
      </w:r>
    </w:p>
    <w:p w14:paraId="54A0BE84" w14:textId="77777777" w:rsidR="00C56352" w:rsidRPr="009B18CF" w:rsidRDefault="00C56352" w:rsidP="0050458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351C47" w14:textId="2A01DDFC" w:rsidR="00203FEF" w:rsidRPr="00901271" w:rsidRDefault="00722DD8" w:rsidP="002D371E">
      <w:pPr>
        <w:spacing w:after="0" w:line="480" w:lineRule="auto"/>
        <w:jc w:val="both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</w:t>
      </w:r>
      <w:r w:rsidR="002D371E"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Universidade de São Paulo, Faculdade de Medicina Veterinária e Zootecnia, Departamento de Nutrição e Produção Animal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E5D8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Avenida </w:t>
      </w:r>
      <w:r w:rsidR="001E5D8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Duque de Caxias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Norte</w:t>
      </w:r>
      <w:r w:rsidR="001E5D8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, n</w:t>
      </w:r>
      <w:r w:rsidR="00C56352" w:rsidRPr="009B18CF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o</w:t>
      </w:r>
      <w:r w:rsidR="001E5D8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225,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Campus Fernando Costa Jardim Elite,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CEP 13635-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00</w:t>
      </w:r>
      <w:r w:rsidR="001E5D8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Pirassununga,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SP, </w:t>
      </w:r>
      <w:proofErr w:type="spellStart"/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Bra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1E5D8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="001E5D8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D371E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E-</w:t>
      </w:r>
      <w:r w:rsidR="002D371E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mail: </w:t>
      </w:r>
      <w:r w:rsidR="00733D12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luiz.gobato@usp.br, alexmiszura@hotmail.com, jpaulobarroso@hotmail.com, andre.storti.martins@gmail.com</w:t>
      </w:r>
      <w:r w:rsidR="00733D1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</w:t>
      </w:r>
      <w:r w:rsidR="002D371E"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Universidade de São Paulo, Escola Superior de Agricultura Luiz de Queiroz, Departamento de Zootecnia</w:t>
      </w:r>
      <w:r w:rsidR="00AE7741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Avenida Pá</w:t>
      </w:r>
      <w:r w:rsidR="00AE7741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dua D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ia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, n</w:t>
      </w:r>
      <w:r w:rsidR="00C56352" w:rsidRPr="009B18CF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o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11,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Caixa Postal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CEP 13418-900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Piracicaba</w:t>
      </w:r>
      <w:r w:rsidR="00DE4287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SP, </w:t>
      </w:r>
      <w:proofErr w:type="spellStart"/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Bra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D371E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2D371E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mail: </w:t>
      </w:r>
      <w:bookmarkStart w:id="1" w:name="_GoBack"/>
      <w:r w:rsidR="00733D12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dmpolizel@gmail.com</w:t>
      </w:r>
      <w:bookmarkEnd w:id="1"/>
      <w:r w:rsidR="00733D12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evandro.ferreira@usp.br, pires.1@usp.br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</w:t>
      </w:r>
      <w:r w:rsidR="00E41416"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Universidade Federal do Amazonas, Instituto de Ciências Sociais, Educação e Zootecnia, Colegiado de Zootecnia</w:t>
      </w:r>
      <w:r w:rsidR="005C667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7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Estrada Parintins </w:t>
      </w:r>
      <w:proofErr w:type="spellStart"/>
      <w:r w:rsidR="005C667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Macurany</w:t>
      </w:r>
      <w:proofErr w:type="spellEnd"/>
      <w:r w:rsidR="005C667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A4359">
        <w:rPr>
          <w:rFonts w:ascii="Times New Roman" w:hAnsi="Times New Roman" w:cs="Times New Roman"/>
          <w:color w:val="000000" w:themeColor="text1"/>
          <w:sz w:val="24"/>
          <w:szCs w:val="24"/>
        </w:rPr>
        <w:t>s/n</w:t>
      </w:r>
      <w:r w:rsidR="001A4359" w:rsidRPr="009B18CF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o</w:t>
      </w:r>
      <w:r w:rsidR="001A43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C667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Jacareacanga,</w:t>
      </w:r>
      <w:r w:rsidR="00DE4287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CEP </w:t>
      </w:r>
      <w:r w:rsidR="005C667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69152-4</w:t>
      </w:r>
      <w:r w:rsidR="001A4359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C6674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4287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Parintins,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Bra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DE4287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="00DE4287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E-mail: </w:t>
      </w:r>
      <w:r w:rsidR="00733D12" w:rsidRPr="009B18CF">
        <w:rPr>
          <w:rFonts w:ascii="Times New Roman" w:hAnsi="Times New Roman" w:cs="Times New Roman"/>
          <w:sz w:val="24"/>
        </w:rPr>
        <w:t>ferrazmvc@gmail.com</w:t>
      </w:r>
      <w:r w:rsidR="00733D12">
        <w:rPr>
          <w:rFonts w:ascii="Times New Roman" w:hAnsi="Times New Roman" w:cs="Times New Roman"/>
          <w:sz w:val="24"/>
        </w:rPr>
        <w:t xml:space="preserve"> </w:t>
      </w:r>
      <w:r w:rsidR="00074A5D"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</w:t>
      </w:r>
      <w:r w:rsidR="00E41416"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="00074A5D"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074A5D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Estação Experimental </w:t>
      </w:r>
      <w:proofErr w:type="spellStart"/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Hildegard</w:t>
      </w:r>
      <w:proofErr w:type="spellEnd"/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Georgina Von </w:t>
      </w:r>
      <w:proofErr w:type="spellStart"/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Pritzelw</w:t>
      </w:r>
      <w:r w:rsidR="00AE7741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itz</w:t>
      </w:r>
      <w:proofErr w:type="spellEnd"/>
      <w:r w:rsidR="00AE7741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Fazenda Figueira, </w:t>
      </w:r>
      <w:r w:rsidR="00074A5D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CEP 86010-990 </w:t>
      </w:r>
      <w:r w:rsidR="00AE7741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Londrina</w:t>
      </w:r>
      <w:r w:rsidR="00DE4287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7741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AE7741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Bra</w:t>
      </w:r>
      <w:r w:rsidR="00C56352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="00203FEF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D371E" w:rsidRPr="00183B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371E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074A5D" w:rsidRPr="007739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2D371E" w:rsidRPr="007739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mail: </w:t>
      </w:r>
      <w:r w:rsidR="00733D12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fazendafigueira@uol.com.br</w:t>
      </w:r>
    </w:p>
    <w:p w14:paraId="2A0C7266" w14:textId="77777777" w:rsidR="00A8780A" w:rsidRPr="00901271" w:rsidRDefault="00A8780A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2BF538F" w14:textId="03548A59" w:rsidR="007E3017" w:rsidRPr="00737F90" w:rsidRDefault="00192C46" w:rsidP="006D0C1D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Abstract</w:t>
      </w:r>
      <w:r w:rsidR="006D0C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65A1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="006D0C1D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74A5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objective </w:t>
      </w:r>
      <w:r w:rsidR="00E06C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this work was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to evaluate the effect of </w:t>
      </w:r>
      <w:proofErr w:type="spellStart"/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inclusion in mineral and protein supplements </w:t>
      </w:r>
      <w:r w:rsidR="006D0C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</w:t>
      </w:r>
      <w:r w:rsidR="003F42B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D02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performance and supplement intake </w:t>
      </w:r>
      <w:r w:rsidR="009240A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0356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grazing beef </w:t>
      </w:r>
      <w:r w:rsidR="00050B2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9C34A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One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hundred</w:t>
      </w:r>
      <w:r w:rsidR="009240A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fifty Nellore </w:t>
      </w:r>
      <w:r w:rsidR="00D65A1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="00CE6EC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with 17.0±0.06 months of age and </w:t>
      </w:r>
      <w:r w:rsidR="00AE70E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219.7±1.62 kg </w:t>
      </w:r>
      <w:r w:rsidR="00CE6EC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initial body weight (BW) </w:t>
      </w:r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were allocated into 30 experimental units (EU</w:t>
      </w:r>
      <w:r w:rsidR="007739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A33A0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), with</w:t>
      </w:r>
      <w:r w:rsidR="00074A5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74A5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animals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each</w:t>
      </w:r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The EU</w:t>
      </w:r>
      <w:r w:rsidR="007739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were assigned to </w:t>
      </w:r>
      <w:r w:rsidR="00C563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16</w:t>
      </w:r>
      <w:r w:rsidR="00C5635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A4F1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paddocks. </w:t>
      </w:r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paddocks were continuously stocked for 28 </w:t>
      </w:r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days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followed by 28 days of rest. </w:t>
      </w:r>
      <w:r w:rsidR="000D320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randomized complete block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design</w:t>
      </w:r>
      <w:r w:rsidR="000D320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was 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used.</w:t>
      </w:r>
      <w:r w:rsidR="000D320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experiment lasted 140 days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divided</w:t>
      </w:r>
      <w:r w:rsidR="005065F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 of 28 days each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assessed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treatments were</w:t>
      </w:r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: </w:t>
      </w:r>
      <w:r w:rsidR="006876B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control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mineral 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supplement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(CON);</w:t>
      </w:r>
      <w:r w:rsidR="00E82F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 +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800 (</w:t>
      </w:r>
      <w:r w:rsidR="00E82F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1800) or 2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750 (</w:t>
      </w:r>
      <w:r w:rsidR="00E82F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2750) mg </w:t>
      </w:r>
      <w:proofErr w:type="spellStart"/>
      <w:r w:rsidR="002673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kilogram of</w:t>
      </w:r>
      <w:r w:rsidR="002673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supplement; 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 p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rotein mineral supplement (PROT) </w:t>
      </w:r>
      <w:r w:rsidR="00AE3D0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or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 + 360</w:t>
      </w:r>
      <w:r w:rsidR="00CA03C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mg </w:t>
      </w:r>
      <w:proofErr w:type="spellStart"/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kilogram </w:t>
      </w:r>
      <w:r w:rsidR="00F115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 supplement (PROT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360). </w:t>
      </w:r>
      <w:r w:rsidR="00570A5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inclusion of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</w:t>
      </w:r>
      <w:r w:rsidR="000E5AC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</w:t>
      </w:r>
      <w:r w:rsidR="00C71A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164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increased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average daily ga</w:t>
      </w:r>
      <w:r w:rsidR="004C19C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C19C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(ADG) </w:t>
      </w:r>
      <w:r w:rsidR="000E5AC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F164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</w:t>
      </w:r>
      <w:r w:rsidR="00AD7F7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first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period and </w:t>
      </w:r>
      <w:r w:rsidR="00F164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decreased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 intake </w:t>
      </w:r>
      <w:r w:rsidR="000E5AC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AE3D0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</w:t>
      </w:r>
      <w:r w:rsidR="00AD7F7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first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second,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third 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periods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when</w:t>
      </w:r>
      <w:r w:rsidR="00F164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compared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with</w:t>
      </w:r>
      <w:r w:rsidR="002673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F164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treatment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074A5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ADG</w:t>
      </w:r>
      <w:r w:rsidR="00CA03C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supplement intake </w:t>
      </w:r>
      <w:r w:rsidR="00074A5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were similar between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E82F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1800 and </w:t>
      </w:r>
      <w:r w:rsidR="00E82F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7E301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2750 treatments.</w:t>
      </w:r>
    </w:p>
    <w:p w14:paraId="699754A2" w14:textId="0BCBEFA5" w:rsidR="00141ECC" w:rsidRPr="00737F90" w:rsidRDefault="006D0C1D" w:rsidP="0050458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Index terms</w:t>
      </w:r>
      <w:r w:rsidR="00141EC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="00141ECC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A4F18" w:rsidRPr="00737F9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Bos indicus</w:t>
      </w:r>
      <w:r w:rsidR="002A4F18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2A4F18" w:rsidRPr="00737F9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ionophore, </w:t>
      </w:r>
      <w:r w:rsidR="00932EA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nutrition</w:t>
      </w:r>
      <w:r w:rsidR="00203BE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7576E778" w14:textId="7D36C69D" w:rsidR="007047E6" w:rsidRPr="00737F90" w:rsidRDefault="007047E6" w:rsidP="0050458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96E752A" w14:textId="5D4C2211" w:rsidR="00932EA1" w:rsidRPr="00737F90" w:rsidRDefault="00033FFD" w:rsidP="00033FFD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Suplementação de </w:t>
      </w:r>
      <w:r w:rsidR="000356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gado</w:t>
      </w:r>
      <w:r w:rsidR="0003565C" w:rsidRPr="00737F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D02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de corte </w:t>
      </w: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em pastejo com </w:t>
      </w:r>
      <w:proofErr w:type="spellStart"/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narasin</w:t>
      </w:r>
      <w:r w:rsidR="006876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proofErr w:type="spellEnd"/>
    </w:p>
    <w:p w14:paraId="3635C711" w14:textId="77777777" w:rsidR="00033FFD" w:rsidRPr="00737F90" w:rsidRDefault="00033FFD" w:rsidP="00033FFD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5B2217" w14:textId="38028EAA" w:rsidR="00E934F4" w:rsidRPr="00737F90" w:rsidRDefault="00932EA1" w:rsidP="000D320B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Resumo</w:t>
      </w:r>
      <w:r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objetivo</w:t>
      </w:r>
      <w:r w:rsidR="00D20AE4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deste trabalho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foi avaliar a inclusão de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narasina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="006876B4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suplemento</w:t>
      </w:r>
      <w:r w:rsidR="008D02BE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mineral e proteico sobre o desempenho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r w:rsidR="008D02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consumo de suplemento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320B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novilhos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corte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em pastagem. Cento e cinquenta novilhos Nelore</w:t>
      </w:r>
      <w:r w:rsidR="00CE6EC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 17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E6EC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0±0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E6EC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06 meses de idade e 219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E6EC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7±1</w:t>
      </w:r>
      <w:r w:rsidR="006876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E6EC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62 kg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70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</w:t>
      </w:r>
      <w:r w:rsidR="00AE70E1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peso inicial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foram distribuídos </w:t>
      </w:r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em 30 unidades experimentais (</w:t>
      </w:r>
      <w:proofErr w:type="spellStart"/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03565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773970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="00003ED9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), com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>cinco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animais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cada</w:t>
      </w:r>
      <w:r w:rsidR="00035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uma</w:t>
      </w:r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 </w:t>
      </w:r>
      <w:proofErr w:type="spellStart"/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UE</w:t>
      </w:r>
      <w:r w:rsidR="00773970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foram 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dispostas</w:t>
      </w:r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em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>60</w:t>
      </w:r>
      <w:r w:rsidR="0026731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piquetes. Os piquetes foram pastejados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continuamente</w:t>
      </w:r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 28 dias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93E20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seguidos de 28 dias de descanso</w:t>
      </w:r>
      <w:r w:rsidR="00201454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D320B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>Utilizou-se o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delineamento 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 w:rsidR="000D320B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locos ao acaso.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tempo de duração do 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experimento 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>foi de</w:t>
      </w:r>
      <w:r w:rsidR="005065FC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140 dias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dividido em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>cinco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períodos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experimentais de 28 dias cada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Os tratamentos 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avaliados </w:t>
      </w:r>
      <w:r w:rsidR="00DD3E6A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foram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suplemento 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mineral </w:t>
      </w:r>
      <w:r w:rsidR="00201454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controle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(CON); CON + 1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800 (N1800) ou 2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750 (N2750) mg de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narasina</w:t>
      </w:r>
      <w:proofErr w:type="spellEnd"/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 quilograma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suplemento; 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suplemento mineral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proteinado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(PROT)</w:t>
      </w:r>
      <w:r w:rsidR="005065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</w:t>
      </w:r>
      <w:r w:rsidR="005065FC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PROT + 360 mg de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narasina</w:t>
      </w:r>
      <w:proofErr w:type="spellEnd"/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 quilograma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suplemento (PROT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360). A inclusão de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narasina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mistura mineral </w:t>
      </w:r>
      <w:r w:rsidR="00591147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aumentou 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ganho médio diário (GMD) durante o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>primeiro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período e reduziu o consumo de suplemento no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primeiro, </w:t>
      </w:r>
      <w:r w:rsidR="000E5A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segundo e</w:t>
      </w:r>
      <w:r w:rsidR="000E5A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terceiro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períodos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A6A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quando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comparado ao tratamento CON. 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GMD e</w:t>
      </w:r>
      <w:r w:rsidR="00003ED9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consumo de suplemento 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foram semelhantes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entre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2A38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os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tratamentos N1800 e N2750.</w:t>
      </w:r>
    </w:p>
    <w:p w14:paraId="47063741" w14:textId="77380C30" w:rsidR="00932EA1" w:rsidRPr="00737F90" w:rsidRDefault="00932EA1" w:rsidP="00932EA1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Termos para indexação: </w:t>
      </w:r>
      <w:proofErr w:type="spellStart"/>
      <w:r w:rsidR="002A4F18" w:rsidRPr="00737F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Bos</w:t>
      </w:r>
      <w:proofErr w:type="spellEnd"/>
      <w:r w:rsidR="002A4F18" w:rsidRPr="00737F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A4F18" w:rsidRPr="00737F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indicus</w:t>
      </w:r>
      <w:proofErr w:type="spellEnd"/>
      <w:r w:rsidR="002A4F18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A4F18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ionóforos</w:t>
      </w:r>
      <w:proofErr w:type="spellEnd"/>
      <w:r w:rsidR="002A4F18" w:rsidRPr="00737F90">
        <w:rPr>
          <w:rFonts w:ascii="Times New Roman" w:hAnsi="Times New Roman" w:cs="Times New Roman"/>
          <w:color w:val="000000" w:themeColor="text1"/>
          <w:sz w:val="24"/>
          <w:szCs w:val="24"/>
        </w:rPr>
        <w:t>, nutrição.</w:t>
      </w:r>
    </w:p>
    <w:p w14:paraId="22B7FC9D" w14:textId="6A8CF7FF" w:rsidR="00EE1654" w:rsidRPr="00737F90" w:rsidRDefault="00EE1654" w:rsidP="0050458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96B579" w14:textId="77777777" w:rsidR="008524DC" w:rsidRPr="00737F90" w:rsidRDefault="009B1CCC" w:rsidP="006D0C1D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Introduction</w:t>
      </w:r>
    </w:p>
    <w:p w14:paraId="6D7CA44A" w14:textId="76DA6F29" w:rsidR="00AD5B1B" w:rsidRPr="0042599A" w:rsidRDefault="00AD5B1B" w:rsidP="00FC3E3C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use of ionophores in mineral mixtures is an economical</w:t>
      </w:r>
      <w:r w:rsidR="006512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easy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alternative </w:t>
      </w:r>
      <w:r w:rsidR="00F164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</w:t>
      </w:r>
      <w:r w:rsidR="006512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producers</w:t>
      </w:r>
      <w:r w:rsidR="00690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who</w:t>
      </w:r>
      <w:r w:rsidR="006512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F17F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are </w:t>
      </w:r>
      <w:r w:rsidR="006512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trying </w:t>
      </w:r>
      <w:r w:rsidR="00615C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 improve</w:t>
      </w:r>
      <w:r w:rsidR="006512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cattle performance</w:t>
      </w:r>
      <w:r w:rsidR="00001D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(Sartori et al., 2017)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DF17F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literature</w:t>
      </w:r>
      <w:r w:rsidR="00DF17F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divergent</w:t>
      </w:r>
      <w:r w:rsidR="00DF17F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results have been </w:t>
      </w:r>
      <w:r w:rsidR="00AE70E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reported</w:t>
      </w:r>
      <w:r w:rsidR="00DF17F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regarding the effect of </w:t>
      </w:r>
      <w:r w:rsidR="007949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these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additives on </w:t>
      </w:r>
      <w:r w:rsidR="00690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D100C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performance </w:t>
      </w:r>
      <w:r w:rsidR="00690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</w:t>
      </w:r>
      <w:r w:rsidR="006906A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100C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cattle under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grazing </w:t>
      </w:r>
      <w:r w:rsidR="00D100C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systems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033FF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C3E3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as reviewed by </w:t>
      </w:r>
      <w:proofErr w:type="spellStart"/>
      <w:r w:rsidR="00FC3E3C" w:rsidRPr="008D527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Bretschneider</w:t>
      </w:r>
      <w:proofErr w:type="spellEnd"/>
      <w:r w:rsidR="00FC3E3C" w:rsidRPr="008D527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 (2008)</w:t>
      </w:r>
      <w:r w:rsidR="00EF04A9" w:rsidRPr="00A67F7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FC3E3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F04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which</w:t>
      </w:r>
      <w:r w:rsidR="00EF04A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may be explained by </w:t>
      </w:r>
      <w:r w:rsidR="00DF17F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daily variation</w:t>
      </w:r>
      <w:r w:rsidR="000318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318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supplement intake </w:t>
      </w:r>
      <w:r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(Bagley </w:t>
      </w:r>
      <w:r w:rsidR="00083EDD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 al.</w:t>
      </w:r>
      <w:r w:rsidR="002A4F18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1988</w:t>
      </w:r>
      <w:r w:rsidR="006042E6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 Sartori et al., 2017</w:t>
      </w:r>
      <w:r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  <w:r w:rsidR="00FC3E3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2560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Although</w:t>
      </w:r>
      <w:r w:rsidR="00FC3E3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2560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ionophores </w:t>
      </w:r>
      <w:r w:rsidR="00FC3E3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have been shown to improve the performance of beef cattle on pasture (</w:t>
      </w:r>
      <w:r w:rsidR="00425605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Sartori et al., 2017</w:t>
      </w:r>
      <w:r w:rsidR="0042560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; </w:t>
      </w:r>
      <w:proofErr w:type="spellStart"/>
      <w:r w:rsidR="00425605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Polizel</w:t>
      </w:r>
      <w:proofErr w:type="spellEnd"/>
      <w:r w:rsidR="00425605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al., 2018</w:t>
      </w:r>
      <w:r w:rsidR="00FC3E3C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),</w:t>
      </w:r>
      <w:r w:rsidR="00FC3E3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their use is limited, likely due to the labor required for their administration 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</w:t>
      </w:r>
      <w:r w:rsidR="00FC3E3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grazing conditions.</w:t>
      </w:r>
    </w:p>
    <w:p w14:paraId="6FBD2342" w14:textId="2FE6A60C" w:rsidR="0026731D" w:rsidRDefault="009B1CCC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is </w:t>
      </w:r>
      <w:r w:rsidR="001441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 ionophore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used </w:t>
      </w:r>
      <w:r w:rsidR="00DF17F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as a </w:t>
      </w:r>
      <w:proofErr w:type="spellStart"/>
      <w:r w:rsidR="00DF17F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coccidiostat</w:t>
      </w:r>
      <w:proofErr w:type="spellEnd"/>
      <w:r w:rsidR="00DF17F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poultry </w:t>
      </w:r>
      <w:r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(Jeffers </w:t>
      </w:r>
      <w:r w:rsidR="00083EDD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 al.</w:t>
      </w:r>
      <w:r w:rsidR="002A4F18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1988</w:t>
      </w:r>
      <w:r w:rsidR="00C02731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as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F17F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growth promoter 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swine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01D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001D67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Arkfeld</w:t>
      </w:r>
      <w:proofErr w:type="spellEnd"/>
      <w:r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83EDD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 al.</w:t>
      </w:r>
      <w:r w:rsidR="002A4F18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2015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). 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Because of its ability 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 carry ions through cell membranes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924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this molecule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can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be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D3E4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used as a</w:t>
      </w:r>
      <w:r w:rsidR="00050B2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growth promoter </w:t>
      </w:r>
      <w:r w:rsidR="007D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 ruminant nutrition</w:t>
      </w:r>
      <w:r w:rsidR="007D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92DA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select</w:t>
      </w:r>
      <w:r w:rsidR="007D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ing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rumen bacteria and protozoa</w:t>
      </w:r>
      <w:r w:rsidR="00EF04A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6042E6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Azzaz</w:t>
      </w:r>
      <w:proofErr w:type="spellEnd"/>
      <w:r w:rsidR="006042E6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</w:t>
      </w:r>
      <w:r w:rsidR="00EF04A9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6042E6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2015)</w:t>
      </w:r>
      <w:r w:rsidR="00C02731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However, t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here are few promising st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udies </w:t>
      </w:r>
      <w:r w:rsidR="00BF2ED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assessing </w:t>
      </w:r>
      <w:proofErr w:type="spellStart"/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C518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as </w:t>
      </w:r>
      <w:r w:rsidR="00BF2ED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050B2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growth promoter 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ruminant diets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0924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especially in the field, </w:t>
      </w:r>
      <w:r w:rsidR="00BF2ED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which 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could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lead to</w:t>
      </w:r>
      <w:r w:rsidR="00DF17F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beneficial responses 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rumen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parameters </w:t>
      </w:r>
      <w:r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AD0FFE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Polizel</w:t>
      </w:r>
      <w:proofErr w:type="spellEnd"/>
      <w:r w:rsidR="00AD0FFE" w:rsidRPr="00EF15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al., </w:t>
      </w:r>
      <w:r w:rsidR="00920AE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2020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and 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animal 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performance</w:t>
      </w:r>
      <w:r w:rsidR="00664A5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AD0FF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Polizel</w:t>
      </w:r>
      <w:proofErr w:type="spellEnd"/>
      <w:r w:rsidR="00AD0FF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al., </w:t>
      </w:r>
      <w:r w:rsidR="00920AE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2020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when </w:t>
      </w:r>
      <w:r w:rsidR="008F1C1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combined </w:t>
      </w:r>
      <w:r w:rsidR="00D2348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with </w:t>
      </w:r>
      <w:r w:rsidR="00C0273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high forage </w:t>
      </w:r>
      <w:r w:rsidR="004A6FD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contents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41465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924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According to </w:t>
      </w:r>
      <w:proofErr w:type="spellStart"/>
      <w:r w:rsidR="000924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Polizel</w:t>
      </w:r>
      <w:proofErr w:type="spellEnd"/>
      <w:r w:rsidR="000924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 (2018), t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he addition of </w:t>
      </w:r>
      <w:proofErr w:type="spellStart"/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924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did</w:t>
      </w:r>
      <w:r w:rsidR="007949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not cause</w:t>
      </w:r>
      <w:r w:rsidR="007949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any</w:t>
      </w:r>
      <w:r w:rsidR="0037772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reduction</w:t>
      </w:r>
      <w:r w:rsidR="004F2A8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37772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mineral supplement intake</w:t>
      </w:r>
      <w:r w:rsidR="0009246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which is </w:t>
      </w:r>
      <w:r w:rsidR="00DA0A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 </w:t>
      </w:r>
      <w:r w:rsidR="0009246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indicative that</w:t>
      </w:r>
      <w:r w:rsidR="00AD55C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F1C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inclusion of </w:t>
      </w:r>
      <w:proofErr w:type="spellStart"/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079B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7A2CC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mineral and protein supplements </w:t>
      </w:r>
      <w:r w:rsidR="00AD55C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may</w:t>
      </w:r>
      <w:r w:rsidR="004261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improve </w:t>
      </w:r>
      <w:r w:rsidR="00D65A1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performance</w:t>
      </w:r>
      <w:r w:rsidR="006512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7A2CC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101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without</w:t>
      </w:r>
      <w:r w:rsidR="007101D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affect</w:t>
      </w:r>
      <w:r w:rsidR="006512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ing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 intake.</w:t>
      </w:r>
    </w:p>
    <w:p w14:paraId="122143F8" w14:textId="63061C6C" w:rsidR="00AD5B1B" w:rsidRPr="00737F90" w:rsidRDefault="00AD55CF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objective this </w:t>
      </w:r>
      <w:r w:rsidR="003F487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work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 evaluate the effect of </w:t>
      </w:r>
      <w:proofErr w:type="spellStart"/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A6FD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inclusion</w:t>
      </w:r>
      <w:r w:rsidR="004A6FD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079B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and protein supplements on </w:t>
      </w:r>
      <w:r w:rsidR="009B397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performance and supplement intake </w:t>
      </w:r>
      <w:r w:rsidR="009B397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grazing </w:t>
      </w:r>
      <w:r w:rsidR="004A6FD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beef</w:t>
      </w:r>
      <w:r w:rsidR="004A6FD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65A1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</w:t>
      </w:r>
      <w:r w:rsidR="004A6FD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AD5B1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65FE554C" w14:textId="77777777" w:rsidR="007047E6" w:rsidRPr="00737F90" w:rsidRDefault="007047E6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D4492A5" w14:textId="7C7D4016" w:rsidR="003C50F3" w:rsidRPr="00737F90" w:rsidRDefault="009B1CCC" w:rsidP="00DE62FE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Materials and </w:t>
      </w:r>
      <w:r w:rsidR="0026731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</w:t>
      </w: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ethods</w:t>
      </w:r>
    </w:p>
    <w:p w14:paraId="79FAF17F" w14:textId="1520189B" w:rsidR="009B1CCC" w:rsidRPr="00737F90" w:rsidRDefault="00CF33C2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experiment was </w:t>
      </w:r>
      <w:r w:rsidR="0058545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carried out</w:t>
      </w:r>
      <w:r w:rsidR="004261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from March to August 2016,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at </w:t>
      </w:r>
      <w:r w:rsidR="0023654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58545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="00A413B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ildegard Georgina Von </w:t>
      </w:r>
      <w:proofErr w:type="spellStart"/>
      <w:r w:rsidR="00A413B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Pritzelwi</w:t>
      </w:r>
      <w:r w:rsidR="0058545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tz</w:t>
      </w:r>
      <w:proofErr w:type="spellEnd"/>
      <w:r w:rsidR="0058545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3654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experimental station, l</w:t>
      </w:r>
      <w:r w:rsidR="004261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ocated in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municipality of </w:t>
      </w:r>
      <w:r w:rsidR="004261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Londrina, </w:t>
      </w:r>
      <w:r w:rsidR="002673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the state of </w:t>
      </w:r>
      <w:r w:rsidR="004261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Paraná</w:t>
      </w:r>
      <w:r w:rsidR="0023654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Brazil</w:t>
      </w:r>
      <w:r w:rsidR="004A6FD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A6FD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(23°34'41.0"S</w:t>
      </w:r>
      <w:r w:rsidR="004A6FD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4A6FD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50°57'08.0"W)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23654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Londrina has </w:t>
      </w:r>
      <w:r w:rsidR="0058545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23654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subtropical humid </w:t>
      </w:r>
      <w:r w:rsidR="005D0CF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climate</w:t>
      </w:r>
      <w:r w:rsidR="00FA07C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948A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A6FD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Cfa</w:t>
      </w:r>
      <w:proofErr w:type="spellEnd"/>
      <w:r w:rsidR="005948A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A07C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according to </w:t>
      </w:r>
      <w:proofErr w:type="spellStart"/>
      <w:r w:rsidR="00FA07C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Köppen</w:t>
      </w:r>
      <w:r w:rsidR="002673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’s</w:t>
      </w:r>
      <w:proofErr w:type="spellEnd"/>
      <w:r w:rsidR="00FA07C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classification, </w:t>
      </w:r>
      <w:r w:rsidR="002F0D9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with</w:t>
      </w:r>
      <w:r w:rsidR="00C926A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precipitation in all seasons</w:t>
      </w:r>
      <w:r w:rsidR="00FA07C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A07C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Alvares</w:t>
      </w:r>
      <w:proofErr w:type="spellEnd"/>
      <w:r w:rsidR="00FA07C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al., 2013)</w:t>
      </w:r>
      <w:r w:rsidR="002F0D9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2F0D9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926A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although </w:t>
      </w:r>
      <w:r w:rsidR="002F0D9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droughts</w:t>
      </w:r>
      <w:r w:rsidR="00C926A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may occur</w:t>
      </w:r>
      <w:r w:rsidR="002F0D9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A6FD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during</w:t>
      </w:r>
      <w:r w:rsidR="004A6FD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</w:t>
      </w:r>
      <w:r w:rsidR="002F0D9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winter period</w:t>
      </w:r>
      <w:r w:rsidR="004A6FD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from</w:t>
      </w:r>
      <w:r w:rsidR="00FA07C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March to July</w:t>
      </w:r>
      <w:r w:rsidR="006939C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when the study was conducted.</w:t>
      </w:r>
      <w:r w:rsidR="00050B2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17AAC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The protocols for this </w:t>
      </w:r>
      <w:r w:rsidR="005948A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experiment</w:t>
      </w:r>
      <w:r w:rsidR="005948A4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</w:t>
      </w:r>
      <w:r w:rsidR="00717AAC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were approved by </w:t>
      </w:r>
      <w:r w:rsidR="0026731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t</w:t>
      </w:r>
      <w:r w:rsidR="00717AAC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he </w:t>
      </w:r>
      <w:r w:rsidR="0026731D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ethics committee on </w:t>
      </w:r>
      <w:r w:rsidR="0026731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animal</w:t>
      </w:r>
      <w:r w:rsidR="0026731D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use </w:t>
      </w:r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of </w:t>
      </w:r>
      <w:proofErr w:type="spellStart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Faculdade</w:t>
      </w:r>
      <w:proofErr w:type="spellEnd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de </w:t>
      </w:r>
      <w:proofErr w:type="spellStart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Medicina</w:t>
      </w:r>
      <w:proofErr w:type="spellEnd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</w:t>
      </w:r>
      <w:proofErr w:type="spellStart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Veterinária</w:t>
      </w:r>
      <w:proofErr w:type="spellEnd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e </w:t>
      </w:r>
      <w:proofErr w:type="spellStart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Zootecnia</w:t>
      </w:r>
      <w:proofErr w:type="spellEnd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</w:t>
      </w:r>
      <w:r w:rsidR="0026731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of</w:t>
      </w:r>
      <w:r w:rsidR="0026731D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</w:t>
      </w:r>
      <w:proofErr w:type="spellStart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Universidade</w:t>
      </w:r>
      <w:proofErr w:type="spellEnd"/>
      <w:r w:rsidR="00AD55CF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de São Paulo</w:t>
      </w:r>
      <w:r w:rsidR="00717AAC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 (</w:t>
      </w:r>
      <w:r w:rsidR="00717A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B736B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umber </w:t>
      </w:r>
      <w:r w:rsidR="00717A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4431141016).</w:t>
      </w:r>
    </w:p>
    <w:p w14:paraId="42FC8D8A" w14:textId="7FA7567F" w:rsidR="00FF4328" w:rsidRPr="00737F90" w:rsidRDefault="002A4F18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hundred and fifty Nellore </w:t>
      </w:r>
      <w:r w:rsidR="00050B2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yearlings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with 17.0±0.06 months of age and </w:t>
      </w:r>
      <w:r w:rsidR="00B736B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219.7±1.62 kg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initial body weight (BW) were allocated according to initial BW into 30 experimental units (EU</w:t>
      </w:r>
      <w:r w:rsidR="007739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484D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consisting of</w:t>
      </w:r>
      <w:r w:rsidR="00AE6A5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 group of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five animals </w:t>
      </w:r>
      <w:r w:rsidR="00484D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each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BF786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42CE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="00BF786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 the beginn</w:t>
      </w:r>
      <w:r w:rsidR="00E42CE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ing of the ex</w:t>
      </w:r>
      <w:r w:rsidR="004C4E5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periment, all EU</w:t>
      </w:r>
      <w:r w:rsidR="007739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BF786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D27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were allocated in </w:t>
      </w:r>
      <w:r w:rsidR="00BF786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same grazing pressure, so</w:t>
      </w:r>
      <w:r w:rsidR="00A2501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BF786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animal mass </w:t>
      </w:r>
      <w:r w:rsidR="0034288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was similar among </w:t>
      </w:r>
      <w:r w:rsidR="00484D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them</w:t>
      </w:r>
      <w:r w:rsidR="00C90AB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77365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EU</w:t>
      </w:r>
      <w:r w:rsidR="007739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77365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were </w:t>
      </w:r>
      <w:r w:rsidR="003C08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assigned to</w:t>
      </w:r>
      <w:r w:rsidR="0077365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C08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six modules with ten paddocks each, totaling </w:t>
      </w:r>
      <w:r w:rsidR="00267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60</w:t>
      </w:r>
      <w:r w:rsidR="00A903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paddocks</w:t>
      </w:r>
      <w:r w:rsidR="00267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03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.0</w:t>
      </w:r>
      <w:r w:rsidR="003C08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03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planted with</w:t>
      </w:r>
      <w:r w:rsidR="00A903C8" w:rsidRPr="00737F9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proofErr w:type="spellStart"/>
      <w:r w:rsidR="00AE6A5A" w:rsidRPr="00737F9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Urochloa</w:t>
      </w:r>
      <w:proofErr w:type="spellEnd"/>
      <w:r w:rsidR="002679BE" w:rsidRPr="00737F9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679BE" w:rsidRPr="00737F9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brizantha</w:t>
      </w:r>
      <w:proofErr w:type="spellEnd"/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46E34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546E34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begin"/>
      </w:r>
      <w:r w:rsidR="00546E34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 xml:space="preserve"> HYPERLINK "https://www.ipni.org/a/8349-1" \o "" </w:instrText>
      </w:r>
      <w:r w:rsidR="00546E34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separate"/>
      </w:r>
      <w:r w:rsidR="00546E34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A.Rich</w:t>
      </w:r>
      <w:proofErr w:type="spellEnd"/>
      <w:r w:rsidR="00546E34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546E34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end"/>
      </w:r>
      <w:r w:rsidR="00546E34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hyperlink r:id="rId11" w:history="1">
        <w:r w:rsidR="00546E34" w:rsidRPr="009B18CF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R.D.Webster</w:t>
        </w:r>
      </w:hyperlink>
      <w:r w:rsidR="00267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67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Marandu</w:t>
      </w:r>
      <w:proofErr w:type="spellEnd"/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cultivar 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containing </w:t>
      </w:r>
      <w:r w:rsidR="00A903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waterers and feeders (mineral boxes</w:t>
      </w:r>
      <w:r w:rsidR="003C08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1119D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The</w:t>
      </w:r>
      <w:r w:rsidR="00A903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paddocks were continuously </w:t>
      </w:r>
      <w:r w:rsidR="003C08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stocked for </w:t>
      </w:r>
      <w:r w:rsidR="00A903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28 days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A903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followed by 28 days of rest.</w:t>
      </w:r>
      <w:r w:rsidR="00AE6A5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84D2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Each group of ten paddocks </w:t>
      </w:r>
      <w:r w:rsidR="00484D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484D2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considered as</w:t>
      </w:r>
      <w:r w:rsidR="00484D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</w:t>
      </w:r>
      <w:r w:rsidR="00484D2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block effect.</w:t>
      </w:r>
      <w:r w:rsidR="00484D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experiment lasted 140 days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divided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 of 28 days each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variables were 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determined</w:t>
      </w:r>
      <w:r w:rsidR="005948A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at the end of each period. </w:t>
      </w:r>
    </w:p>
    <w:p w14:paraId="405B14CC" w14:textId="7E3B5AC3" w:rsidR="00983CE3" w:rsidRPr="00737F90" w:rsidRDefault="00983CE3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EU</w:t>
      </w:r>
      <w:r w:rsidR="007739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were randomly </w:t>
      </w:r>
      <w:r w:rsidR="00DC5ED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assigned to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</w:t>
      </w:r>
      <w:r w:rsidR="005948A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84D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484D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following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treatments: mineral control (CON); CON + 1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800 mg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ilogram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 </w:t>
      </w:r>
      <w:r w:rsidR="002A4F1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</w:t>
      </w:r>
      <w:r w:rsidR="002A4F1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fed basis 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N1800); CON + 2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750 mg </w:t>
      </w:r>
      <w:proofErr w:type="spellStart"/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kilogram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 (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275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0); 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rotein mineral supplement with 22% crude protein (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OT)</w:t>
      </w:r>
      <w:r w:rsidR="005948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PROT + 360</w:t>
      </w:r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mg </w:t>
      </w:r>
      <w:proofErr w:type="spellStart"/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546E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kilogram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 (PROT 360). The mineral and chemical composition </w:t>
      </w:r>
      <w:r w:rsidR="004004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treatments 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presented in 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able 1.</w:t>
      </w:r>
      <w:r w:rsidR="004004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004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The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BellNutri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90 supplement (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Trouw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Nutrition,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Mirassol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SP, Brazil)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 used for</w:t>
      </w:r>
      <w:r w:rsidR="009B56B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CON, 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1800</w:t>
      </w:r>
      <w:r w:rsidR="004004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2750 treatments</w:t>
      </w:r>
      <w:r w:rsidR="004004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whereas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Lambisk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SA (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Trouw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Nutrition</w:t>
      </w:r>
      <w:r w:rsidR="006A45A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Campinas, SP, Brazil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used for PROT and PROT 360.</w:t>
      </w:r>
    </w:p>
    <w:p w14:paraId="0A1E5318" w14:textId="3E7CDEFE" w:rsidR="006D0A2C" w:rsidRPr="00737F90" w:rsidRDefault="00484D26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o</w:t>
      </w:r>
      <w:r w:rsidR="002A3C5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ffered 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supplements and </w:t>
      </w:r>
      <w:r w:rsidR="005664B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orts</w:t>
      </w:r>
      <w:r w:rsidR="002A3C5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were weighed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every two days 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the</w:t>
      </w:r>
      <w:r w:rsidR="00CB39F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D27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.0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7D273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 accuracy </w:t>
      </w:r>
      <w:r w:rsidR="00CB39F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Toledo 9094C/4</w:t>
      </w:r>
      <w:r w:rsidR="00CB39FF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7282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electronic scale</w:t>
      </w:r>
      <w:r w:rsidR="006854A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A7282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Toledo do </w:t>
      </w:r>
      <w:proofErr w:type="spellStart"/>
      <w:r w:rsidR="00A7282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Brasil</w:t>
      </w:r>
      <w:proofErr w:type="spellEnd"/>
      <w:r w:rsidR="00A7282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São Bernardo do Campo, SP, Brazil</w:t>
      </w:r>
      <w:r w:rsidR="00EA459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2A4F1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Both</w:t>
      </w:r>
      <w:r w:rsidR="005A307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supplements </w:t>
      </w:r>
      <w:r w:rsidR="002A4F1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 orts were</w:t>
      </w:r>
      <w:r w:rsidR="0018570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sampled to determine dry matter (</w:t>
      </w:r>
      <w:r w:rsidR="00102C8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DM</w:t>
      </w:r>
      <w:r w:rsidR="006A45A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6A45A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according to method </w:t>
      </w:r>
      <w:r w:rsidR="006A45A4" w:rsidRPr="00737F9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pt-BR"/>
        </w:rPr>
        <w:t xml:space="preserve">934.01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pt-BR"/>
        </w:rPr>
        <w:t>of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Association o</w:t>
      </w:r>
      <w:r w:rsidR="005A307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 Official Analytical Chemists</w:t>
      </w:r>
      <w:r w:rsidR="005A3075" w:rsidRPr="00737F90" w:rsidDel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A45A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9877B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Horwitz</w:t>
      </w:r>
      <w:r w:rsidR="005A307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97262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2000</w:t>
      </w:r>
      <w:r w:rsidR="0018570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18570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18570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to </w:t>
      </w:r>
      <w:r w:rsidR="0018570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calc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</w:t>
      </w:r>
      <w:r w:rsidR="0018570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ate the 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supplement intake 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5A307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each EU. The </w:t>
      </w:r>
      <w:r w:rsidR="0018570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mineral 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supplement was</w:t>
      </w:r>
      <w:r w:rsidR="0018570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offered </w:t>
      </w:r>
      <w:r w:rsidR="006D0A2C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 libitum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allowing orts </w:t>
      </w:r>
      <w:r w:rsidR="0001698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at least 10% </w:t>
      </w:r>
      <w:r w:rsidR="0001698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offered</w:t>
      </w:r>
      <w:r w:rsidR="0001698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amount</w:t>
      </w:r>
      <w:r w:rsidR="006D0A2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C20E6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Due to an above-expected intake, </w:t>
      </w:r>
      <w:r w:rsidR="00D2348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C20E6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 daily supply of prote</w:t>
      </w:r>
      <w:r w:rsidR="00C3511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</w:t>
      </w:r>
      <w:r w:rsidR="006B210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supplements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was adjusted </w:t>
      </w:r>
      <w:r w:rsidR="00C3511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from the 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third</w:t>
      </w:r>
      <w:r w:rsidR="00CB39F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20E6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experimental period</w:t>
      </w:r>
      <w:r w:rsidR="006B210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wards</w:t>
      </w:r>
      <w:r w:rsidR="00C20E6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342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animal’s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BW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5D0CF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average daily gain (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ADG</w:t>
      </w:r>
      <w:r w:rsidR="005D0CF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were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assessed</w:t>
      </w:r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465C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every 28 days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465C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after 16 hours of solid and liquid fast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A010E2" w:rsidRPr="00737F90" w:rsidDel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using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proofErr w:type="spellStart"/>
      <w:r w:rsidR="00CB39F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idBeck</w:t>
      </w:r>
      <w:proofErr w:type="spellEnd"/>
      <w:r w:rsidR="00CB39F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3.0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electronic scale (</w:t>
      </w:r>
      <w:proofErr w:type="spellStart"/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Irmãos</w:t>
      </w:r>
      <w:proofErr w:type="spellEnd"/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Beckhauser</w:t>
      </w:r>
      <w:proofErr w:type="spellEnd"/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 Cia </w:t>
      </w:r>
      <w:proofErr w:type="spellStart"/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Ltda</w:t>
      </w:r>
      <w:proofErr w:type="spellEnd"/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Paranavaí</w:t>
      </w:r>
      <w:proofErr w:type="spellEnd"/>
      <w:r w:rsidR="00913CA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PR, Brazil)</w:t>
      </w:r>
      <w:r w:rsidR="007A2C9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72A85722" w14:textId="7EAA1BFB" w:rsidR="004D30BD" w:rsidRPr="00737F90" w:rsidRDefault="007A7D06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orage samples were collected</w:t>
      </w:r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15 cm from the ground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on 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first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fourteenth,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twenty-eighth 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day </w:t>
      </w:r>
      <w:r w:rsidR="003C0EC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each </w:t>
      </w:r>
      <w:r w:rsidR="00355F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experimental 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period </w:t>
      </w:r>
      <w:r w:rsidR="00D30C7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to 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evaluate the amount of forage in</w:t>
      </w:r>
      <w:r w:rsidR="00B6250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each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paddock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; 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the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first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twenty-eighth 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days,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samples were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quantitative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A307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the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fourteenth 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day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A010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used</w:t>
      </w:r>
      <w:r w:rsidR="005A307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 evaluate forage quality (simulated grazing)</w:t>
      </w:r>
      <w:r w:rsidR="00C943C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q</w:t>
      </w:r>
      <w:r w:rsidR="00B4262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uantitative samples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1613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were harvested </w:t>
      </w:r>
      <w:r w:rsidR="00AC2A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close to the ground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using </w:t>
      </w:r>
      <w:r w:rsidR="00355F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0.25</w:t>
      </w:r>
      <w:r w:rsidR="00355F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355F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="00355F68" w:rsidRPr="00C1776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</w:t>
      </w:r>
      <w:r w:rsidR="00355F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E5A2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metallic </w:t>
      </w:r>
      <w:r w:rsidR="00B14C8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frames </w:t>
      </w:r>
      <w:r w:rsidR="00FE5A2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(0.5x0.5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E5A2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m)</w:t>
      </w:r>
      <w:r w:rsidR="005D108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C2A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placed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on the </w:t>
      </w:r>
      <w:r w:rsidR="00FE5A2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representative </w:t>
      </w:r>
      <w:r w:rsidR="00AC2A0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sites</w:t>
      </w:r>
      <w:r w:rsidR="00FE5A2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The</w:t>
      </w:r>
      <w:r w:rsidR="00102C8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B39F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DM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each</w:t>
      </w:r>
      <w:r w:rsidR="00CB39F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E618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sample 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5D108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obtained after </w:t>
      </w:r>
      <w:r w:rsidR="00C5169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24 hou</w:t>
      </w:r>
      <w:r w:rsidR="006C051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rs in a forced-air oven at 105°</w:t>
      </w:r>
      <w:r w:rsidR="00C5169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3506C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CB39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following</w:t>
      </w:r>
      <w:r w:rsidR="003506C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protocol 934.</w:t>
      </w:r>
      <w:r w:rsidR="003506C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01</w:t>
      </w:r>
      <w:r w:rsidR="002B697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3E55D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Horwitz</w:t>
      </w:r>
      <w:r w:rsidR="002B697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97262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2000</w:t>
      </w:r>
      <w:r w:rsidR="002B697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C943C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D30C7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5D108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sample collected </w:t>
      </w:r>
      <w:r w:rsidR="0000251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on </w:t>
      </w:r>
      <w:r w:rsidR="001F3F9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CB39F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fourteenth </w:t>
      </w:r>
      <w:r w:rsidR="005D108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day </w:t>
      </w:r>
      <w:r w:rsidR="001F3F9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5D108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each period was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dr</w:t>
      </w:r>
      <w:r w:rsidR="006C05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ied in a forced-air oven at 60°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 </w:t>
      </w:r>
      <w:r w:rsidR="005D108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 then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ground </w:t>
      </w:r>
      <w:r w:rsidR="005D108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1F3F9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</w:t>
      </w:r>
      <w:r w:rsidR="00A010E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.0</w:t>
      </w:r>
      <w:r w:rsidR="00CB39F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mm Wiley Mill screen (Marconi</w:t>
      </w:r>
      <w:r w:rsidR="004F25C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F25C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Equipamentos</w:t>
      </w:r>
      <w:proofErr w:type="spellEnd"/>
      <w:r w:rsidR="004F25C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 </w:t>
      </w:r>
      <w:proofErr w:type="spellStart"/>
      <w:r w:rsidR="004F25C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Laboratório</w:t>
      </w:r>
      <w:proofErr w:type="spellEnd"/>
      <w:r w:rsidR="004F25C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F25C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Ltda</w:t>
      </w:r>
      <w:proofErr w:type="spellEnd"/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Piracicaba, </w:t>
      </w:r>
      <w:r w:rsidR="004F25C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SP, 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Brazil). The final DM content was determined after the samples</w:t>
      </w:r>
      <w:r w:rsidR="006A65B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were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A65B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oven-dried 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 105</w:t>
      </w:r>
      <w:r w:rsidR="00600633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°C 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 24 h</w:t>
      </w:r>
      <w:r w:rsidR="00A7159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ours</w:t>
      </w:r>
      <w:r w:rsidR="003506C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6A65B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according to</w:t>
      </w:r>
      <w:r w:rsidR="003506C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protocol 934.01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4B4D9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Horwitz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97262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2000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Total nitrogen concentration</w:t>
      </w:r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was determined using </w:t>
      </w:r>
      <w:r w:rsidR="00A7159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proofErr w:type="spellStart"/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TruMac</w:t>
      </w:r>
      <w:proofErr w:type="spellEnd"/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Total Nitrogen Analyzer</w:t>
      </w:r>
      <w:r w:rsidR="003B68A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3B68A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="003D5D9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eco</w:t>
      </w:r>
      <w:proofErr w:type="spellEnd"/>
      <w:r w:rsidR="003B68A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Corporation, St. Joseph, </w:t>
      </w:r>
      <w:r w:rsidR="0075412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MI, USA</w:t>
      </w:r>
      <w:r w:rsidR="003506C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A857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355F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following </w:t>
      </w:r>
      <w:r w:rsidR="003506C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protocol 968.06 (</w:t>
      </w:r>
      <w:r w:rsidR="004B4D9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Horwitz</w:t>
      </w:r>
      <w:r w:rsidR="0075412B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97262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2000</w:t>
      </w:r>
      <w:r w:rsidR="003506C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A8574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whereas crude protein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was obtained by multiplying the total N content by 6.25.</w:t>
      </w:r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matter was determined by heating the sampl</w:t>
      </w:r>
      <w:r w:rsidR="000F3F6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es in a muffle furnace at 550°C</w:t>
      </w:r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for 4 h</w:t>
      </w:r>
      <w:r w:rsidR="00A7159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ours</w:t>
      </w:r>
      <w:r w:rsidR="003506C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355F6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 described in</w:t>
      </w:r>
      <w:r w:rsidR="00A8574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506C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protocol 942.05</w:t>
      </w:r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2C343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Horwitz</w:t>
      </w:r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97262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2000</w:t>
      </w:r>
      <w:r w:rsidR="00617C1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  <w:r w:rsidR="003B68A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A69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Neutral detergent fiber (NDF) </w:t>
      </w:r>
      <w:r w:rsidR="004E495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</w:t>
      </w:r>
      <w:r w:rsidR="00252FB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</w:t>
      </w:r>
      <w:r w:rsidR="004E495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8574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obtained </w:t>
      </w:r>
      <w:r w:rsidR="00355F6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with </w:t>
      </w:r>
      <w:r w:rsidR="00FA69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heat-stable alpha-amylase and sodium sulfite, </w:t>
      </w:r>
      <w:r w:rsidR="00A8574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while </w:t>
      </w:r>
      <w:r w:rsidR="00FA69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acid detergent fiber (ADF) </w:t>
      </w:r>
      <w:r w:rsidR="00A8574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was determined </w:t>
      </w:r>
      <w:r w:rsidR="00355F6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according to</w:t>
      </w:r>
      <w:r w:rsidR="00A8574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A69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Van </w:t>
      </w:r>
      <w:proofErr w:type="spellStart"/>
      <w:r w:rsidR="00FA69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Soest</w:t>
      </w:r>
      <w:proofErr w:type="spellEnd"/>
      <w:r w:rsidR="00FA69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8780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 al</w:t>
      </w:r>
      <w:r w:rsidR="00744FB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FA69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(1991), </w:t>
      </w:r>
      <w:r w:rsidR="00355F6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using</w:t>
      </w:r>
      <w:r w:rsidR="00355F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715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</w:t>
      </w:r>
      <w:r w:rsidR="00A7159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A69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Ankom</w:t>
      </w:r>
      <w:proofErr w:type="spellEnd"/>
      <w:r w:rsidR="00FA69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2000 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Automated </w:t>
      </w:r>
      <w:r w:rsidR="00FA69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Fiber Analyzer (</w:t>
      </w:r>
      <w:proofErr w:type="spellStart"/>
      <w:r w:rsidR="00FA69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Ankom</w:t>
      </w:r>
      <w:proofErr w:type="spellEnd"/>
      <w:r w:rsidR="00FA69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Technology</w:t>
      </w:r>
      <w:r w:rsidR="00FA69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Macedon</w:t>
      </w:r>
      <w:r w:rsidR="00FA691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NY, USA).</w:t>
      </w:r>
    </w:p>
    <w:p w14:paraId="1E286D79" w14:textId="4A887523" w:rsidR="004D30BD" w:rsidRPr="00737F90" w:rsidRDefault="003D6884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experimental design was a randomized complete block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in which each group of </w:t>
      </w:r>
      <w:r w:rsidR="00385F2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ten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paddocks </w:t>
      </w:r>
      <w:r w:rsidR="00355F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355F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considered as </w:t>
      </w:r>
      <w:r w:rsidR="00A857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block effect to minimize pasture variation. Each EU </w:t>
      </w:r>
      <w:r w:rsidR="00A857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consisted of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Nellore </w:t>
      </w:r>
      <w:r w:rsidR="00050B2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="00A857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grouped </w:t>
      </w:r>
      <w:r w:rsidR="00182A3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according to BW and age.</w:t>
      </w:r>
      <w:r w:rsidR="0073745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s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tatistical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analyses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were performed using the MIXED procedure of 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SAS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A42B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version 9.0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AA42B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software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(SAS Inst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itute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Inc., Cary, NC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USA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 All data were sub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jec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ted to the Shapiro-Wilk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proofErr w:type="spellStart"/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Levene</w:t>
      </w:r>
      <w:proofErr w:type="spellEnd"/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test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 verify the normality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homogeneity of variances, respectively, and discrepant data (outliers</w:t>
      </w:r>
      <w:r w:rsidR="00AA42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studentized residual &gt;3 or &lt;-3) were removed.</w:t>
      </w:r>
    </w:p>
    <w:p w14:paraId="0029412D" w14:textId="443C5DD5" w:rsidR="005320C5" w:rsidRPr="00737F90" w:rsidRDefault="005575C3" w:rsidP="002B5942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For the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data </w:t>
      </w:r>
      <w:r w:rsidR="000901A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corresponding to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supplement intake, ADG</w:t>
      </w:r>
      <w:r w:rsidR="00D306B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forage</w:t>
      </w:r>
      <w:r w:rsidR="00502E7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quality and availability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were analyzed</w:t>
      </w:r>
      <w:r w:rsidR="005D108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as repeated measures over time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For this,</w:t>
      </w:r>
      <w:r w:rsidR="005D108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following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statistical model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was used</w:t>
      </w:r>
      <w:r w:rsidR="005D108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ijk</w:t>
      </w:r>
      <w:proofErr w:type="spellEnd"/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= µ + </w:t>
      </w:r>
      <w:proofErr w:type="spellStart"/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ij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k</w:t>
      </w:r>
      <w:proofErr w:type="spellEnd"/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k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k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ijk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where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µ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overall mean, </w:t>
      </w:r>
      <w:proofErr w:type="spellStart"/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fixed effect of 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treatmen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t,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random block effect,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ij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is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random error A,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k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fixed effect of 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period, </w:t>
      </w:r>
      <w:proofErr w:type="spellStart"/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k</w:t>
      </w:r>
      <w:proofErr w:type="spellEnd"/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fixed effect of 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treatmen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 and period interaction,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k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is the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random effect of 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block and period interaction, and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ijk</w:t>
      </w:r>
      <w:proofErr w:type="spellEnd"/>
      <w:r w:rsidR="008A75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</w:t>
      </w:r>
      <w:r w:rsidR="008A752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random error B.</w:t>
      </w:r>
    </w:p>
    <w:p w14:paraId="0FFC79AD" w14:textId="77B053A0" w:rsidR="004D30BD" w:rsidRPr="00737F90" w:rsidRDefault="00EE06AD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BW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 y</w:t>
      </w:r>
      <w:r w:rsidR="006939C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earlings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analyzed using the model: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ij</w:t>
      </w:r>
      <w:proofErr w:type="spellEnd"/>
      <w:r w:rsidR="00037F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= µ + </w:t>
      </w:r>
      <w:proofErr w:type="spellStart"/>
      <w:r w:rsidR="00037F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ij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where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overall mean, </w:t>
      </w:r>
      <w:proofErr w:type="spellStart"/>
      <w:r w:rsidR="00037F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</w:t>
      </w:r>
      <w:proofErr w:type="spellEnd"/>
      <w:r w:rsidR="00037F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037F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fixed effect of 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037F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treatmen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t, </w:t>
      </w:r>
      <w:proofErr w:type="spellStart"/>
      <w:r w:rsidR="004D30BD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="004D30BD" w:rsidRPr="009B18C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random block effect, </w:t>
      </w:r>
      <w:r w:rsidR="004D30BD"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proofErr w:type="spellStart"/>
      <w:r w:rsidR="004D30BD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4D30BD" w:rsidRPr="009B18C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ij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random error.</w:t>
      </w:r>
    </w:p>
    <w:p w14:paraId="63D49698" w14:textId="6DAB4063" w:rsidR="004D30BD" w:rsidRPr="00737F90" w:rsidRDefault="003B7FF4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ll data</w:t>
      </w:r>
      <w:r w:rsidR="005575C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analyze</w:t>
      </w:r>
      <w:r w:rsidR="00446D0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as repeated measures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</w:t>
      </w:r>
      <w:r w:rsidR="00A202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put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into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covariance matrices and tested for compound symmetry, heterogeneous compound symmetry, </w:t>
      </w:r>
      <w:r w:rsidR="004D30BD" w:rsidRPr="00355F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banded</w:t>
      </w:r>
      <w:r w:rsidR="00355F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structure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variance components,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toeplitz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heterogeneous </w:t>
      </w:r>
      <w:proofErr w:type="spellStart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toeplitz</w:t>
      </w:r>
      <w:proofErr w:type="spellEnd"/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7359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autoregressive and autoregressive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heterogene</w:t>
      </w:r>
      <w:r w:rsidR="007359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ity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being</w:t>
      </w:r>
      <w:r w:rsidR="00C916E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defined according to the lowest value obtained for </w:t>
      </w:r>
      <w:r w:rsidR="00C916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c</w:t>
      </w:r>
      <w:r w:rsidR="00C916E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orrected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Akaike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nformation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riterion</w:t>
      </w:r>
      <w:r w:rsidR="00D30C7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306B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(AIC</w:t>
      </w:r>
      <w:r w:rsidR="00D30C7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D306B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The effect</w:t>
      </w:r>
      <w:r w:rsidR="002226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</w:t>
      </w:r>
      <w:r w:rsidR="00355F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 and treatment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x period interaction were defined by the F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test of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analysis of variance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2226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reatmen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 effects were </w:t>
      </w:r>
      <w:r w:rsidR="002226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analyzed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by </w:t>
      </w:r>
      <w:r w:rsidR="005A1CD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four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orthogonal contrasts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4740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0251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which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were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vs 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1800 and 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2750; 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1800 vs 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2750; CON, 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1800</w:t>
      </w:r>
      <w:r w:rsidR="001827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2750 vs PROT and PROT 360;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 vs PROT 360.</w:t>
      </w:r>
      <w:r w:rsidR="005373F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Treatment means were obtained by the LSMEANS command and 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considere</w:t>
      </w:r>
      <w:r w:rsidR="009F4F7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significant </w:t>
      </w:r>
      <w:r w:rsidR="005A1CD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</w:t>
      </w:r>
      <w:r w:rsidR="005A1CD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D527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5% probability</w:t>
      </w:r>
      <w:r w:rsidR="004D30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78227346" w14:textId="77777777" w:rsidR="009841A7" w:rsidRPr="00737F90" w:rsidRDefault="009841A7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12E9E30" w14:textId="61BF1899" w:rsidR="00E53793" w:rsidRPr="00737F90" w:rsidRDefault="00E53793" w:rsidP="003318CD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Results</w:t>
      </w:r>
      <w:r w:rsidR="003318CD"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and </w:t>
      </w:r>
      <w:r w:rsidR="00EE06A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</w:t>
      </w:r>
      <w:r w:rsidR="003318CD"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iscussion</w:t>
      </w:r>
    </w:p>
    <w:p w14:paraId="5BEB9C68" w14:textId="5910FD6D" w:rsidR="00294E87" w:rsidRPr="00737F90" w:rsidRDefault="002A545F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There was no effect of 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treatment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</w:t>
      </w:r>
      <w:r w:rsidR="006006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interaction between treatment 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 </w:t>
      </w:r>
      <w:r w:rsidR="00B060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</w:t>
      </w:r>
      <w:r w:rsidR="00B0609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75AE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quality and quantity o</w:t>
      </w:r>
      <w:r w:rsidR="00C477A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 </w:t>
      </w:r>
      <w:r w:rsidR="00315EF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available </w:t>
      </w:r>
      <w:r w:rsidR="00C477A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forage 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during the experiment (</w:t>
      </w:r>
      <w:r w:rsidR="00D27013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en-US"/>
        </w:rPr>
        <w:t>Table</w:t>
      </w:r>
      <w:r w:rsidR="00183B07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en-US"/>
        </w:rPr>
        <w:t>s</w:t>
      </w:r>
      <w:r w:rsidR="00D27013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en-US"/>
        </w:rPr>
        <w:t xml:space="preserve"> 2</w:t>
      </w:r>
      <w:r w:rsidR="00183B07"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en-US"/>
        </w:rPr>
        <w:t xml:space="preserve"> and 3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), which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made it possible to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85F2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evaluat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treatments and periods separately. </w:t>
      </w:r>
      <w:r w:rsidR="00B75AE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Moreover,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experimental design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allowed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provid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ing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similar conditions of forage </w:t>
      </w:r>
      <w:r w:rsidR="00FD0F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="00FD0F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animals</w:t>
      </w:r>
      <w:r w:rsidR="00B75AE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without 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damag</w:t>
      </w:r>
      <w:r w:rsidR="00B75AE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ing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or </w:t>
      </w:r>
      <w:r w:rsidR="00B75AE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priv</w:t>
      </w:r>
      <w:r w:rsidR="00B75AE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ileging</w:t>
      </w:r>
      <w:r w:rsidR="00340E8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any treatment with different forage conditions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Howe</w:t>
      </w:r>
      <w:r w:rsidR="00B75AE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</w:t>
      </w:r>
      <w:r w:rsidR="00D2701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here was a peri</w:t>
      </w:r>
      <w:r w:rsidR="009A769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od effect </w:t>
      </w:r>
      <w:r w:rsidR="002226B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on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all </w:t>
      </w:r>
      <w:r w:rsidR="00B75AE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measured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characteristics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showing that pasture conditions are dynamic,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being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influenced by weather (</w:t>
      </w:r>
      <w:r w:rsidR="00340E8F" w:rsidRPr="008D527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Nepomuceno et al., 2017</w:t>
      </w:r>
      <w:r w:rsidR="00D352F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2D73DBAE" w14:textId="04CDF2A2" w:rsidR="00D352F6" w:rsidRPr="00737F90" w:rsidRDefault="00B75AE5" w:rsidP="00537665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arasin</w:t>
      </w:r>
      <w:proofErr w:type="spellEnd"/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intake during the experimental period was 0.42, 0.65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0.62 mg </w:t>
      </w:r>
      <w:proofErr w:type="spellStart"/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BW for treatments N1800, N2750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PROT</w:t>
      </w:r>
      <w:r w:rsidR="00A010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4626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360, respectively. </w:t>
      </w:r>
      <w:r w:rsidR="003D688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 expected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3D688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intake by </w:t>
      </w:r>
      <w:r w:rsidR="003D688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</w:t>
      </w:r>
      <w:r w:rsidR="006939C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earlings</w:t>
      </w:r>
      <w:r w:rsidR="00A42E5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D0F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A42E5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protein supplements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42E5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greater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than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that of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D0F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A42E5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mineral supplements </w:t>
      </w:r>
      <w:r w:rsidR="004D67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(Table </w:t>
      </w:r>
      <w:r w:rsidR="003035D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), which may be </w:t>
      </w:r>
      <w:r w:rsidR="00B060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attributed</w:t>
      </w:r>
      <w:r w:rsidR="00B0609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060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="00B0609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fact that 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protein supplement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contain</w:t>
      </w:r>
      <w:r w:rsidR="006440C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concentrates</w:t>
      </w:r>
      <w:r w:rsidR="00B060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that are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0609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more palatable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 the</w:t>
      </w:r>
      <w:r w:rsidR="006440C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ruminants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This high palatability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due to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</w:t>
      </w:r>
      <w:r w:rsidR="006440C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352F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dige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stibly </w:t>
      </w:r>
      <w:r w:rsidR="00DB43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than that of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forage.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Furthermore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protein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supplement allowed 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 additional uptake of nutrients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by the Nellore yearlings</w:t>
      </w:r>
      <w:r w:rsidR="00E7587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7587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daily metabolic requirements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these yearling</w:t>
      </w:r>
      <w:r w:rsidR="00B060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compared with </w:t>
      </w:r>
      <w:r w:rsidR="00B060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that of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those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that 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only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received </w:t>
      </w:r>
      <w:r w:rsidR="00B060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mineral supplement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990F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explain why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990F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protein supplement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caused a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</w:t>
      </w:r>
      <w:r w:rsidR="00990F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BW at the end of experiment</w:t>
      </w:r>
      <w:r w:rsidR="002C731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990F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Likewise</w:t>
      </w:r>
      <w:r w:rsidR="00990FC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3766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3766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Brandão</w:t>
      </w:r>
      <w:proofErr w:type="spellEnd"/>
      <w:r w:rsidR="0053766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 (2016)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found</w:t>
      </w:r>
      <w:r w:rsidR="006440C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that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intake of NDF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by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steers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receiving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protein-energy supplement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than 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that of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those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fed the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supplement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According to t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</w:t>
      </w:r>
      <w:r w:rsidR="00FD0F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authors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this happened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because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steers that received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mineral supplement had only forage as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food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source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when they </w:t>
      </w:r>
      <w:r w:rsidR="00E86F0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grazed,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they did not consume only leaves. Diets with lower percentages of NDF provide a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DM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intake, which </w:t>
      </w:r>
      <w:r w:rsidR="00990FC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normally 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increase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85F2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BW gain</w:t>
      </w:r>
      <w:r w:rsidR="0053766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42F1465E" w14:textId="5409EEBD" w:rsidR="00BD34D6" w:rsidRPr="00737F90" w:rsidRDefault="00A42E5B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There was an interaction 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etween treatments and period on supplement intake, which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was greater in </w:t>
      </w:r>
      <w:r w:rsidR="006939C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fed 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 treatment than </w:t>
      </w:r>
      <w:r w:rsidR="00DB43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those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receiving</w:t>
      </w:r>
      <w:r w:rsidR="006440C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N1800 and N2750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the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first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second,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third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periods. This result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is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 </w:t>
      </w:r>
      <w:r w:rsidR="006440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indicative</w:t>
      </w:r>
      <w:r w:rsidR="006440C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that </w:t>
      </w:r>
      <w:proofErr w:type="spellStart"/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may reduce supplement intake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although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no effect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 observed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055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periods 4 and 5. 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</w:t>
      </w:r>
      <w:r w:rsidR="008055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erefore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th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 present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study was no</w:t>
      </w:r>
      <w:r w:rsidR="008055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able to determine whether </w:t>
      </w:r>
      <w:proofErr w:type="spellStart"/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reduce</w:t>
      </w:r>
      <w:r w:rsidR="008055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="00BD34D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or not supplement intake. It is important to highlight that this variable </w:t>
      </w:r>
      <w:r w:rsidR="006C45F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normally show</w:t>
      </w:r>
      <w:r w:rsidR="008055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6C45F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high variability.</w:t>
      </w:r>
    </w:p>
    <w:p w14:paraId="69F190FB" w14:textId="5F006591" w:rsidR="00A42E5B" w:rsidRPr="00737F90" w:rsidRDefault="00805523" w:rsidP="00504583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ineral intake was </w:t>
      </w:r>
      <w:r w:rsidR="00362E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</w:t>
      </w:r>
      <w:r w:rsidR="00362EB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than</w:t>
      </w:r>
      <w:r w:rsidR="00FD0D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expected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varying 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from 40 to 50 g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day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first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second,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third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periods, possibly due to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previously insufficient mineralization.</w:t>
      </w:r>
      <w:r w:rsidR="00793F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Likewise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amount of the 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protein supplement was 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than 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expected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the 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first 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second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when 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inclusion of </w:t>
      </w:r>
      <w:proofErr w:type="spellStart"/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decreased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its</w:t>
      </w:r>
      <w:r w:rsidR="00B8216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intake</w:t>
      </w:r>
      <w:r w:rsidR="00B821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FD0D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</w:t>
      </w:r>
      <w:r w:rsidR="00FD0DE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hen </w:t>
      </w:r>
      <w:r w:rsidR="0092257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FD0D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mineral </w:t>
      </w:r>
      <w:r w:rsidR="00FD0DE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supplement intake approached the expected amount</w:t>
      </w:r>
      <w:r w:rsidR="00FD0D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i</w:t>
      </w:r>
      <w:r w:rsidR="0087144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the </w:t>
      </w:r>
      <w:r w:rsidR="008714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fourth</w:t>
      </w:r>
      <w:r w:rsidR="0087144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8714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fifth</w:t>
      </w:r>
      <w:r w:rsidR="0087144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</w:t>
      </w:r>
      <w:r w:rsidR="008714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imilar values were obtained for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CON, N1800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N2750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FD0D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However, regarding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assessed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levels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FD0D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there was no effect on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supplement intake</w:t>
      </w:r>
      <w:r w:rsidR="00BB25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as also reported by</w:t>
      </w:r>
      <w:r w:rsidR="008714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ther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authors</w:t>
      </w:r>
      <w:r w:rsidR="00EF5DE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F5DE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A326D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Polizel</w:t>
      </w:r>
      <w:proofErr w:type="spellEnd"/>
      <w:r w:rsidR="00A326D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al., </w:t>
      </w:r>
      <w:r w:rsidR="005F2EB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2017, </w:t>
      </w:r>
      <w:r w:rsidR="00A326D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2018</w:t>
      </w:r>
      <w:r w:rsidR="00EF5DE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15CB6A31" w14:textId="3810F71C" w:rsidR="003318CD" w:rsidRPr="0042599A" w:rsidRDefault="003318CD" w:rsidP="003318CD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At the beginning of the experiment, protein supply </w:t>
      </w:r>
      <w:r w:rsidR="004043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BB250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C39C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offered increasingly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so </w:t>
      </w:r>
      <w:r w:rsidR="0090023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Pr="00737F90" w:rsidDel="0008784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consuming the entire supply would receive a </w:t>
      </w:r>
      <w:r w:rsidR="00AC39C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</w:t>
      </w:r>
      <w:r w:rsidR="00AC39C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amount of supplement in the next offer. </w:t>
      </w:r>
      <w:r w:rsidR="00484B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Although t</w:t>
      </w:r>
      <w:r w:rsidR="00182A3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 manufacturer recommend</w:t>
      </w:r>
      <w:r w:rsidR="00AC39C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140 to 200 g </w:t>
      </w:r>
      <w:r w:rsidR="00AC39C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protein supplement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 each 100 kg of BW, in the second period</w:t>
      </w:r>
      <w:r w:rsidR="00A635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043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</w:t>
      </w:r>
      <w:r w:rsidR="00AC39C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provided</w:t>
      </w:r>
      <w:r w:rsidR="004043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amount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was above the projected. The</w:t>
      </w:r>
      <w:r w:rsidR="005C6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refore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from the 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third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</w:t>
      </w:r>
      <w:r w:rsidR="00A635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onwards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the daily supply of protein supplement was fixed at 500 g</w:t>
      </w:r>
      <w:r w:rsidR="00EE06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animal as </w:t>
      </w:r>
      <w:r w:rsidR="00A635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fed basis. </w:t>
      </w:r>
      <w:r w:rsidR="00A635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he difference between </w:t>
      </w:r>
      <w:r w:rsidR="00A635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observed and expected intake </w:t>
      </w:r>
      <w:r w:rsidR="00A635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may be </w:t>
      </w:r>
      <w:r w:rsidR="00A635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explained by the fact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that the </w:t>
      </w:r>
      <w:r w:rsidR="005C6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offered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product normally </w:t>
      </w:r>
      <w:r w:rsidR="00AC39C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includes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52F1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ionophore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monensin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which is known to reduce </w:t>
      </w:r>
      <w:r w:rsidR="00FD0D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intake of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supplement</w:t>
      </w:r>
      <w:r w:rsidR="00FD0DE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Fieser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2007).</w:t>
      </w:r>
    </w:p>
    <w:p w14:paraId="4F9BAC42" w14:textId="671ACB26" w:rsidR="005C6BD8" w:rsidRPr="0042599A" w:rsidRDefault="00A42E5B" w:rsidP="009F5967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Treatment x period interactions </w:t>
      </w:r>
      <w:r w:rsidR="00A6350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were observed for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ADG, </w:t>
      </w:r>
      <w:r w:rsidR="00A6350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with higher values in </w:t>
      </w:r>
      <w:r w:rsidR="0090127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N1800 </w:t>
      </w:r>
      <w:r w:rsidR="006C501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N2750 </w:t>
      </w:r>
      <w:r w:rsidR="0090127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treatments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than </w:t>
      </w:r>
      <w:r w:rsidR="00A6350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 </w:t>
      </w:r>
      <w:r w:rsidR="00A6350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6939CB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EE06A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first</w:t>
      </w:r>
      <w:r w:rsidR="003035D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experimental period (Table 5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A6350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however, there was no effect in 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subsequent periods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680E3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There was 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also </w:t>
      </w:r>
      <w:r w:rsidR="00680E3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no effect of </w:t>
      </w:r>
      <w:r w:rsidR="0067045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680E3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different </w:t>
      </w:r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levels of </w:t>
      </w:r>
      <w:proofErr w:type="spellStart"/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F77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="00680E3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ADG </w:t>
      </w:r>
      <w:r w:rsidR="0067045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</w:t>
      </w:r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any </w:t>
      </w:r>
      <w:r w:rsidR="0067045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evaluated </w:t>
      </w:r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period</w:t>
      </w:r>
      <w:r w:rsidR="0067045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3C676E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addition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6939CB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receiving mineral </w:t>
      </w:r>
      <w:r w:rsidR="008F77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supplement 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with </w:t>
      </w:r>
      <w:r w:rsidR="008D54D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1,800 or 2,750 mg kg</w:t>
      </w:r>
      <w:r w:rsidR="008D54D9" w:rsidRPr="0042599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-1</w:t>
      </w:r>
      <w:r w:rsidR="008D54D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had 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 (</w:t>
      </w:r>
      <w:r w:rsidR="00EE06A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= 0.01) BW than </w:t>
      </w:r>
      <w:r w:rsidR="008F77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those 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fed the control at the end of the fir</w:t>
      </w:r>
      <w:r w:rsidR="003035D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 period (Table 6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8D54D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 however,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there was no effect of </w:t>
      </w:r>
      <w:proofErr w:type="spellStart"/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</w:t>
      </w:r>
      <w:r w:rsidR="008D54D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BW of </w:t>
      </w:r>
      <w:r w:rsidR="0090023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="008D54D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8D54D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other periods</w:t>
      </w:r>
      <w:r w:rsidR="008F77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BW did not differ between </w:t>
      </w:r>
      <w:proofErr w:type="spellStart"/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levels</w:t>
      </w:r>
      <w:r w:rsidR="00D4182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Since pasture </w:t>
      </w:r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production and composition was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similar over time and</w:t>
      </w:r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no treatment and period interaction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was observed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3D68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no pasture characteristic justified the effect of </w:t>
      </w:r>
      <w:proofErr w:type="spellStart"/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only in the first period.</w:t>
      </w:r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These results show that </w:t>
      </w:r>
      <w:proofErr w:type="spellStart"/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improves ADG during the initial period of mineral supplementation and suggest </w:t>
      </w:r>
      <w:r w:rsidR="005D1D8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that </w:t>
      </w:r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microorganisms </w:t>
      </w:r>
      <w:r w:rsidR="008F77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developed resistance </w:t>
      </w:r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to </w:t>
      </w:r>
      <w:r w:rsidR="008F77E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ionophores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as reported in </w:t>
      </w:r>
      <w:r w:rsidR="005D1D8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studies on </w:t>
      </w:r>
      <w:proofErr w:type="spellStart"/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monensin</w:t>
      </w:r>
      <w:proofErr w:type="spellEnd"/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(Russel </w:t>
      </w:r>
      <w:r w:rsidR="005D1D8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&amp; </w:t>
      </w:r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Strobel, 1989).</w:t>
      </w:r>
    </w:p>
    <w:p w14:paraId="27432024" w14:textId="2D454F68" w:rsidR="002B5942" w:rsidRPr="00737F90" w:rsidRDefault="005D1D8C" w:rsidP="009F5967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However</w:t>
      </w:r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few studies</w:t>
      </w:r>
      <w:r w:rsidR="00FD0DE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have</w:t>
      </w:r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evaluat</w:t>
      </w:r>
      <w:r w:rsidR="00EB7F7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FD0DE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effect of </w:t>
      </w:r>
      <w:proofErr w:type="spellStart"/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metabolism of 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grazing </w:t>
      </w:r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ruminant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especially during long periods of consumption.</w:t>
      </w:r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Polizel</w:t>
      </w:r>
      <w:proofErr w:type="spellEnd"/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 (</w:t>
      </w:r>
      <w:r w:rsidR="00BC77D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2020</w:t>
      </w:r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assessed </w:t>
      </w:r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ruminal parameters and nutrient digestibility of steers fed diets with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high inclusion of forage supplemented with </w:t>
      </w:r>
      <w:proofErr w:type="spellStart"/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for </w:t>
      </w:r>
      <w:r w:rsidR="00EE06A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months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and found</w:t>
      </w:r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that there was no interaction between treatment and experimental period, showing that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D0DE9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exposure time 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to </w:t>
      </w:r>
      <w:proofErr w:type="spellStart"/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did not affect </w:t>
      </w:r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studied </w:t>
      </w:r>
      <w:r w:rsidR="00C53F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variables.</w:t>
      </w:r>
      <w:r w:rsidR="002B594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B7F7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the present study, </w:t>
      </w:r>
      <w:r w:rsidR="009F4C5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lack of 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improvement in animal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performance </w:t>
      </w:r>
      <w:r w:rsidR="00EB7F7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may also be explained by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high variability of 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pasture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intake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by the yearlings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In this line, </w:t>
      </w:r>
      <w:proofErr w:type="spellStart"/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Aubel</w:t>
      </w:r>
      <w:proofErr w:type="spellEnd"/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 (2011) reported 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low frequency of mineral supplement intake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since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only 21% of the steers visit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feeder every day. In a recent study, </w:t>
      </w:r>
      <w:proofErr w:type="spellStart"/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Cappellozza</w:t>
      </w:r>
      <w:proofErr w:type="spellEnd"/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 (2019) observed that 25.8% of the animals visited the feeder daily when 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fed the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supplement</w:t>
      </w:r>
      <w:r w:rsidR="0083036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however, when a protein-energetic supplement was offered, the visit increased to 85.1%. 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For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additives</w:t>
      </w:r>
      <w:r w:rsidR="005C6BD8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express their full action potential, the intake must be frequent so that the input of</w:t>
      </w:r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additive into the ruminal environment is constant. When ingested daily, </w:t>
      </w:r>
      <w:proofErr w:type="spellStart"/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resulted in 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better ruminal fermentation and improved 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performance of lambs</w:t>
      </w:r>
      <w:r w:rsid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however, when </w:t>
      </w:r>
      <w:r w:rsidR="00FD0D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its</w:t>
      </w:r>
      <w:r w:rsidR="00FD0DE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consumption 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was</w:t>
      </w:r>
      <w:r w:rsidR="002368E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spaced, with 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greater interval between additive intake, the effects on the performance and fermentation parameters 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were</w:t>
      </w:r>
      <w:r w:rsidR="002368E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impaired (Oliveira et al., 2018). Th</w:t>
      </w:r>
      <w:r w:rsidR="002368E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E0241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 results are indicative that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use of mineral or protein supplements as a vehicle </w:t>
      </w:r>
      <w:r w:rsidR="002368E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to </w:t>
      </w:r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supply ionophores for grazing cattle is still an inefficient method due to the irregular intake of these supplements (</w:t>
      </w:r>
      <w:proofErr w:type="spellStart"/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Cappellozza</w:t>
      </w:r>
      <w:proofErr w:type="spellEnd"/>
      <w:r w:rsidR="009F596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et al., 2019).</w:t>
      </w:r>
    </w:p>
    <w:p w14:paraId="05771B6F" w14:textId="5AAAE499" w:rsidR="003318CD" w:rsidRPr="0042599A" w:rsidRDefault="003318CD" w:rsidP="003318CD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levels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did not affect any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the studied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parameters, even though the amount of ionophore</w:t>
      </w:r>
      <w:r w:rsidR="00E0241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supplied by N2750 was higher than 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that by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N1800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i.e., </w:t>
      </w:r>
      <w:r w:rsidR="00CF54F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167.8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36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vs</w:t>
      </w:r>
      <w:r w:rsidR="002368E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108</w:t>
      </w:r>
      <w:r w:rsidR="00CF54F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.0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mg</w:t>
      </w:r>
      <w:r w:rsidR="0077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day</w:t>
      </w:r>
      <w:r w:rsidR="00CF54F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during the whole experimental period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960D3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It is possible that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there is a plateau in which the responses are similar through</w:t>
      </w:r>
      <w:r w:rsidR="00960D3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out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 inclusion range</w:t>
      </w:r>
      <w:r w:rsidR="00960D3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5B070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</w:t>
      </w:r>
      <w:r w:rsidR="009F596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owever, </w:t>
      </w:r>
      <w:r w:rsidR="00960D3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there was no control of </w:t>
      </w:r>
      <w:r w:rsidR="005B070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frequency intake</w:t>
      </w:r>
      <w:r w:rsidR="00960D3B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which </w:t>
      </w:r>
      <w:r w:rsidR="0068797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has been</w:t>
      </w:r>
      <w:r w:rsidR="005B070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60D3B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considered </w:t>
      </w:r>
      <w:r w:rsidR="005B070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more important </w:t>
      </w:r>
      <w:r w:rsidR="00960D3B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for </w:t>
      </w:r>
      <w:r w:rsidR="00E1376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animal </w:t>
      </w:r>
      <w:r w:rsidR="005B070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performance than dosage (Oliveira et al.</w:t>
      </w:r>
      <w:r w:rsidR="00E0241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B070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2018).</w:t>
      </w:r>
    </w:p>
    <w:p w14:paraId="047E14F6" w14:textId="100DEC9C" w:rsidR="003318CD" w:rsidRPr="00737F90" w:rsidRDefault="00624938" w:rsidP="003318CD">
      <w:pPr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Although t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he inclusion of </w:t>
      </w:r>
      <w:proofErr w:type="spellStart"/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into </w:t>
      </w:r>
      <w:r w:rsidR="00FD2DA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protein supplement</w:t>
      </w:r>
      <w:r w:rsidR="003035D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did not affect ADG (Table 5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), </w:t>
      </w:r>
      <w:r w:rsidR="00900232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</w:t>
      </w:r>
      <w:r w:rsidR="00795084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fed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this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 had </w:t>
      </w:r>
      <w:r w:rsidR="00FD2DA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greater ADG</w:t>
      </w:r>
      <w:r w:rsidR="00FD2DA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 the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first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second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</w:t>
      </w:r>
      <w:r w:rsidR="00E0241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compared with</w:t>
      </w:r>
      <w:r w:rsidR="00FD2DA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those fed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717AA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mineral supplement, resulting in a greater BW at the end of every e</w:t>
      </w:r>
      <w:r w:rsidR="003035D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xperimental period (Table 6</w:t>
      </w:r>
      <w:r w:rsidR="00717AAC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). 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highest ADG for the protein</w:t>
      </w:r>
      <w:r w:rsidR="000523C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supplement</w:t>
      </w:r>
      <w:r w:rsidR="00AD40F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animals in the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first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second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 and the absence of effect in </w:t>
      </w:r>
      <w:r w:rsidR="000523C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other periods can be explained by the variation in the </w:t>
      </w:r>
      <w:r w:rsidR="000523C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crude protein 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pasture, which was </w:t>
      </w:r>
      <w:r w:rsidR="006B37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low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the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first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6B37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8.9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%) and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second 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6B37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8.4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%) periods</w:t>
      </w:r>
      <w:r w:rsidR="00523E7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23E7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but </w:t>
      </w:r>
      <w:r w:rsidR="006B37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high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the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third 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6B37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13.8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%),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fourth </w:t>
      </w:r>
      <w:r w:rsidR="00461FB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6B37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11.6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%)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fifth 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6B371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9.5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%)</w:t>
      </w:r>
      <w:r w:rsidR="00E0241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ones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Poppi</w:t>
      </w:r>
      <w:proofErr w:type="spellEnd"/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&amp; 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McLennan (1995) </w:t>
      </w:r>
      <w:r w:rsidR="00AD40F5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reviewed 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several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protein supplementation experiments</w:t>
      </w:r>
      <w:r w:rsidR="00C736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concluded that </w:t>
      </w:r>
      <w:r w:rsidR="00E0241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this type of</w:t>
      </w:r>
      <w:r w:rsidR="00E0241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supplementation induced an increase in ADG when low</w:t>
      </w:r>
      <w:r w:rsidR="00E0241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quality forage was used, </w:t>
      </w:r>
      <w:r w:rsidR="00E0241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but had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weaker</w:t>
      </w:r>
      <w:r w:rsidR="00E0241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effect </w:t>
      </w:r>
      <w:r w:rsidR="00523E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with</w:t>
      </w:r>
      <w:r w:rsidR="00CE732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high</w:t>
      </w:r>
      <w:r w:rsidR="000523C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quality forage. 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5648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rotein supplementation decreased in relation to BW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because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5648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offered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supplement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was fixed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23E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500 g</w:t>
      </w:r>
      <w:r w:rsidR="0077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animal</w:t>
      </w:r>
      <w:r w:rsidR="0077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day as 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fed basis, 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which did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not tak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into account the increase in </w:t>
      </w:r>
      <w:r w:rsidR="00C736B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BW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consequently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energy requirement of the animals. </w:t>
      </w:r>
      <w:r w:rsidR="0092257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this case, a</w:t>
      </w:r>
      <w:r w:rsidR="005648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5648D7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318C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alternative would be </w:t>
      </w:r>
      <w:r w:rsidR="0092257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considering</w:t>
      </w:r>
      <w:r w:rsidR="0092257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BW of the animals</w:t>
      </w:r>
      <w:r w:rsidR="0092257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when supplementing their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878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feed</w:t>
      </w:r>
      <w:r w:rsidR="008878EF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(Silva et al.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2010). The </w:t>
      </w:r>
      <w:r w:rsidR="008878E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BW of the </w:t>
      </w:r>
      <w:r w:rsidR="00CE7326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fed protein supplements </w:t>
      </w:r>
      <w:r w:rsidR="008878E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was </w:t>
      </w:r>
      <w:r w:rsidR="00922571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greater 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all experimental periods, </w:t>
      </w:r>
      <w:r w:rsidR="008878E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which was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attributed to</w:t>
      </w:r>
      <w:r w:rsidR="00331FF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increase in </w:t>
      </w:r>
      <w:r w:rsidR="00E0241A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331FF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ADG in</w:t>
      </w:r>
      <w:r w:rsidR="00331FF0" w:rsidRPr="0042599A" w:rsidDel="005F2A7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31FF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protein supplementation group in the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first</w:t>
      </w:r>
      <w:r w:rsidR="00331FF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</w:t>
      </w:r>
      <w:r w:rsidR="00776877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second</w:t>
      </w:r>
      <w:r w:rsidR="00331FF0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periods, </w:t>
      </w:r>
      <w:r w:rsidR="008878E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showing 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that the use of protein shortens the livestock cycle, as </w:t>
      </w:r>
      <w:r w:rsidR="008878E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reported 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previous studies (Zanetti et al.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2000; Barbosa et al.</w:t>
      </w:r>
      <w:r w:rsidR="00C736B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3318CD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2007)</w:t>
      </w:r>
      <w:r w:rsidR="008878EF"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3390005C" w14:textId="77777777" w:rsidR="007047E6" w:rsidRPr="00737F90" w:rsidRDefault="007047E6" w:rsidP="0050458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5760ABA" w14:textId="2FA09D60" w:rsidR="009067BC" w:rsidRPr="00737F90" w:rsidRDefault="009067BC" w:rsidP="00717AAC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Conclusion</w:t>
      </w:r>
      <w:r w:rsidR="0077687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</w:t>
      </w:r>
    </w:p>
    <w:p w14:paraId="774DF3A0" w14:textId="77B8569C" w:rsidR="00331FF0" w:rsidRPr="00737F90" w:rsidRDefault="00331FF0" w:rsidP="00717AAC">
      <w:pPr>
        <w:pStyle w:val="Pargrafoda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positive effect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 </w:t>
      </w:r>
      <w:r w:rsidR="008878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77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average daily gain (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ADG</w:t>
      </w:r>
      <w:r w:rsidR="0077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grazing </w:t>
      </w:r>
      <w:r w:rsidR="00201454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yearlings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D40F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is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restricted to the first 28 days of supplementation, with no effect </w:t>
      </w:r>
      <w:r w:rsidR="008878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a longer period of </w:t>
      </w:r>
      <w:r w:rsidR="00523E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time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6E9F0ABC" w14:textId="646EC653" w:rsidR="00717AAC" w:rsidRPr="00737F90" w:rsidRDefault="00331FF0" w:rsidP="00717AAC">
      <w:pPr>
        <w:pStyle w:val="Pargrafoda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</w:t>
      </w:r>
      <w:r w:rsidR="003F72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F72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C0172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level</w:t>
      </w:r>
      <w:r w:rsidR="00746F2B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878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added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to </w:t>
      </w:r>
      <w:r w:rsidR="008878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mineral supplement </w:t>
      </w:r>
      <w:r w:rsidR="00AD40F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 not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affect yearling performance</w:t>
      </w:r>
      <w:r w:rsidR="00C5772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suggesting </w:t>
      </w:r>
      <w:r w:rsidR="008878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that </w:t>
      </w:r>
      <w:r w:rsidR="00C0172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use of </w:t>
      </w:r>
      <w:r w:rsidR="00C5772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8878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C5772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800 mg</w:t>
      </w:r>
      <w:r w:rsidR="0077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="00C5772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77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="00C5772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77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="00C5772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mineral supplement</w:t>
      </w:r>
      <w:r w:rsidR="003F72E2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is enough</w:t>
      </w:r>
      <w:r w:rsidR="001119D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6E51481F" w14:textId="08BB5584" w:rsidR="00717AAC" w:rsidRPr="00737F90" w:rsidRDefault="00AD40F5" w:rsidP="00717AAC">
      <w:pPr>
        <w:pStyle w:val="Pargrafoda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331FF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arasin</w:t>
      </w:r>
      <w:proofErr w:type="spellEnd"/>
      <w:r w:rsidR="00331FF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control</w:t>
      </w:r>
      <w:r w:rsidR="008878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331FF0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supplement intake, without compromising ADG</w:t>
      </w:r>
      <w:r w:rsidR="001119D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2DF71878" w14:textId="77777777" w:rsidR="007047E6" w:rsidRPr="00737F90" w:rsidRDefault="007047E6" w:rsidP="0050458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7C744D0" w14:textId="15CC69FE" w:rsidR="002C12B5" w:rsidRPr="00737F90" w:rsidRDefault="002C12B5" w:rsidP="00717AA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 w:eastAsia="pt-BR"/>
        </w:rPr>
      </w:pPr>
      <w:r w:rsidRPr="00737F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 w:eastAsia="pt-BR"/>
        </w:rPr>
        <w:t>Acknowledgments</w:t>
      </w:r>
    </w:p>
    <w:p w14:paraId="32A7E769" w14:textId="5DD202AF" w:rsidR="00E56AD2" w:rsidRPr="00737F90" w:rsidRDefault="00776877" w:rsidP="00504583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To </w:t>
      </w:r>
      <w:proofErr w:type="spellStart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Fundação</w:t>
      </w:r>
      <w:proofErr w:type="spellEnd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 de </w:t>
      </w:r>
      <w:proofErr w:type="spellStart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Estudos</w:t>
      </w:r>
      <w:proofErr w:type="spellEnd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 </w:t>
      </w:r>
      <w:proofErr w:type="spellStart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Agrários</w:t>
      </w:r>
      <w:proofErr w:type="spellEnd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 Luiz de Queiroz (</w:t>
      </w:r>
      <w:proofErr w:type="spellStart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F</w:t>
      </w:r>
      <w:r w:rsidR="008D52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ealq</w:t>
      </w:r>
      <w:proofErr w:type="spellEnd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, for support;</w:t>
      </w:r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 and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to the </w:t>
      </w:r>
      <w:r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Hildegard Georgina Von </w:t>
      </w:r>
      <w:proofErr w:type="spellStart"/>
      <w:r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Pritzelwitz</w:t>
      </w:r>
      <w:proofErr w:type="spellEnd"/>
      <w:r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experimental s</w:t>
      </w:r>
      <w:r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tation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of </w:t>
      </w:r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Fazenda </w:t>
      </w:r>
      <w:proofErr w:type="spellStart"/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Figueira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,</w:t>
      </w:r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 for allowing the use of their cattle and facilities during th</w:t>
      </w:r>
      <w:r w:rsidR="00523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>e</w:t>
      </w:r>
      <w:r w:rsidR="00E56AD2" w:rsidRPr="007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t-BR"/>
        </w:rPr>
        <w:t xml:space="preserve"> study.</w:t>
      </w:r>
    </w:p>
    <w:p w14:paraId="7916AACB" w14:textId="1438E308" w:rsidR="00776877" w:rsidRDefault="00776877" w:rsidP="0050458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br w:type="page"/>
      </w:r>
    </w:p>
    <w:p w14:paraId="75A31AFD" w14:textId="77777777" w:rsidR="002C12B5" w:rsidRPr="00737F90" w:rsidRDefault="002C12B5" w:rsidP="00737F90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 w:eastAsia="pt-BR"/>
        </w:rPr>
      </w:pPr>
      <w:r w:rsidRPr="00737F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 w:eastAsia="pt-BR"/>
        </w:rPr>
        <w:lastRenderedPageBreak/>
        <w:t>References</w:t>
      </w:r>
    </w:p>
    <w:p w14:paraId="129B7D25" w14:textId="77777777" w:rsidR="006042E6" w:rsidRPr="009B18CF" w:rsidRDefault="006042E6" w:rsidP="0050458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</w:pPr>
    </w:p>
    <w:p w14:paraId="10A6DE83" w14:textId="77777777" w:rsidR="006035BA" w:rsidRPr="0042599A" w:rsidRDefault="006035BA" w:rsidP="00050B24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ALVARES, C.A.; STAPE, J.L.; SENTELHAS, P.C.; GONÇALVES, J.L. de M.; SPAROVEK, G.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Köppen’s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climate classification map for Brazil. </w:t>
      </w:r>
      <w:proofErr w:type="spellStart"/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Meteorologische</w:t>
      </w:r>
      <w:proofErr w:type="spellEnd"/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Zeitschrift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v.22, p.711-728, 2013. DOI: https://doi.org/10.1127/0941-2948/2013/0507.</w:t>
      </w:r>
    </w:p>
    <w:p w14:paraId="6CB3034E" w14:textId="5704198E" w:rsidR="006035BA" w:rsidRPr="0042599A" w:rsidRDefault="006035BA" w:rsidP="00504583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ARKFELD, E.K.; CARR, S.N.; RINCKER, P.J.; GRUBER, S.L.; ALLEE, G.L.; DILGER, A.C.; BOLER, D.D. Effects of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Skycis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on live performance and carcass traits of finishing pigs sold in a three-phase marketing system.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v.93, p.5028-5035, 2015. DOI: https://doi.org/</w:t>
      </w:r>
      <w:hyperlink r:id="rId12" w:history="1">
        <w:r w:rsidRPr="0042599A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10.2527/jas.2015-9314</w:t>
        </w:r>
      </w:hyperlink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2A92BEA0" w14:textId="53552F15" w:rsidR="006035BA" w:rsidRPr="0042599A" w:rsidRDefault="006035BA" w:rsidP="00504583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AUBEL, N.A.; JAEGER, J.R.; DROUILLARD, J.S.; SCHLEGEL, M.D.; PACHECO, L.A.; LINDEN, D.R.; BOLTE, J.W.; HIGGINS, J.J.; OLSEN, K.C. Effects of mineral-supplement delivery system on frequency, duration, and timing of supplement use by beef cows grazing topographically rugged, native rangeland in the Kansas Flint Hills.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v.89, p.3699-3706, 2011. DOI: https://doi.org/</w:t>
      </w:r>
      <w:hyperlink r:id="rId13" w:tgtFrame="_blank" w:history="1">
        <w:r w:rsidRPr="0042599A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10.2527/jas.2010-3808</w:t>
        </w:r>
      </w:hyperlink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5AA7BA31" w14:textId="77777777" w:rsidR="006035BA" w:rsidRPr="0042599A" w:rsidRDefault="006035BA" w:rsidP="00F31940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</w:pPr>
      <w:r w:rsidRPr="004259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AZZAZ, H.H.; MURAD, H.A.; MORSY, T.A. Utility of ionophores for ruminant animals: a review. </w:t>
      </w:r>
      <w:r w:rsidRPr="004259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 w:eastAsia="pt-BR"/>
        </w:rPr>
        <w:t>Asian Journal of Animal Sciences</w:t>
      </w:r>
      <w:r w:rsidRPr="004259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, v.9, p.254-265, 2015. DOI: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https://doi.org/</w:t>
      </w:r>
      <w:r w:rsidRPr="004259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10.3923/ajas.2015.254.265.</w:t>
      </w:r>
    </w:p>
    <w:p w14:paraId="6F9EE13C" w14:textId="77777777" w:rsidR="006035BA" w:rsidRPr="0042599A" w:rsidRDefault="006035BA" w:rsidP="00504583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BAGLEY, C.P.; FEAZEL, J.I.; MORRISON, D.G.; LUCAS, D.M. Effects of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salinomycin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 ruminal characteristics and performance of grazing beef steers.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v.66, p.792-797, 1988. DOI: https://doi.org/</w:t>
      </w:r>
      <w:hyperlink r:id="rId14" w:history="1">
        <w:r w:rsidRPr="0042599A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10.2527/jas1988.663792x</w:t>
        </w:r>
      </w:hyperlink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3D33A92B" w14:textId="77777777" w:rsidR="006035BA" w:rsidRPr="0042599A" w:rsidRDefault="006035BA" w:rsidP="00504583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BARBOSA, F.A.; GRAÇA, D.S.; MAFFEI, W.E.; SILVA JÚNIOR, F.V.; SOUZA, G.M. Desempenho e consumo de matéria seca de bovinos sob suplementação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>protéico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-energética, durante a época de transição água-seca.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Arquivo Brasileiro de Medicina Veterinária e Zootecnia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>, v.59, p.160-167, 2007. DOI: https://doi.org/10.1590/S0102-09352007000100027.</w:t>
      </w:r>
    </w:p>
    <w:p w14:paraId="01ED9F88" w14:textId="3249382C" w:rsidR="006035BA" w:rsidRDefault="006035BA" w:rsidP="00F31940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</w:pPr>
      <w:r w:rsidRPr="00F435D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lastRenderedPageBreak/>
        <w:t>BRANDÃO, R.K.C.; CARVALHO, G.G.P. de; SILVA, R.R.; DIAS, D.L.S.; MENDES, F.B.L.; LINS, T.O.J.D’.; ABREU FILHO, G.</w:t>
      </w:r>
      <w:r w:rsidRPr="004259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; SOUZA, S.O. de; BARROSO, D.S.; RUFINO, L.M. de A.; TOSTO, M.S.L. Comparison of protein and energy supplementation to mineral supplementation on feeding behavior of grazing cattle during the rainy to the dry season transition. </w:t>
      </w:r>
      <w:proofErr w:type="spellStart"/>
      <w:r w:rsidRPr="004259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 w:eastAsia="pt-BR"/>
        </w:rPr>
        <w:t>SpringerPlus</w:t>
      </w:r>
      <w:proofErr w:type="spellEnd"/>
      <w:r w:rsidRPr="004259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, v.5, art.933, 2016. DOI: </w:t>
      </w:r>
      <w:hyperlink r:id="rId15" w:history="1">
        <w:r w:rsidRPr="0096516F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</w:t>
        </w:r>
        <w:r w:rsidRPr="0096516F">
          <w:rPr>
            <w:rStyle w:val="Hyperlink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pt-BR"/>
          </w:rPr>
          <w:t>10.1186/s40064-016-2603-9</w:t>
        </w:r>
      </w:hyperlink>
      <w:r w:rsidRPr="004259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.</w:t>
      </w:r>
    </w:p>
    <w:p w14:paraId="140DCDC5" w14:textId="77777777" w:rsidR="006035BA" w:rsidRPr="0042599A" w:rsidRDefault="006035BA" w:rsidP="00F31940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</w:pPr>
      <w:r w:rsidRPr="00624EA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BRETSCHNEIDER, G.; ELIZALDE, J.C.; PÉREZ, F.A. The effect of feeding antibiotic growth promoters on the performance of beef cattle consuming forage-based diets: a review. </w:t>
      </w:r>
      <w:r w:rsidRPr="008D52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 w:eastAsia="pt-BR"/>
        </w:rPr>
        <w:t>Livestock Science</w:t>
      </w:r>
      <w:r w:rsidRPr="00624EA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 xml:space="preserve">, v.114, p.135-149, 2008. DOI: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https://doi.org/</w:t>
      </w:r>
      <w:r w:rsidRPr="00624EA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10.1016/j.livsci.2007.12.017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pt-BR"/>
        </w:rPr>
        <w:t>.</w:t>
      </w:r>
    </w:p>
    <w:p w14:paraId="709BBC3B" w14:textId="3DFCBFDC" w:rsidR="006035BA" w:rsidRPr="0042599A" w:rsidRDefault="006035BA" w:rsidP="00504583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CAPPELLOZZA, B.I.; LASMAR, P.V.F.; REIS, F.T.; OLIVEIRA, L.; HOE, F.; BOEHLER, R.M.; LEIBOVICH, J.; STARKEY, R.; SIMAS, J.; COOKE, R.F. Effects of supplement type and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inclusion on supplement intake by </w:t>
      </w:r>
      <w:r w:rsidRPr="0042599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Bos indicus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beef bulls grazing a warm-season forage.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Translational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v.3, p.263-273, 2019. DOI: https://doi.org/10.1093/tas/txy113.</w:t>
      </w:r>
    </w:p>
    <w:p w14:paraId="21912716" w14:textId="77777777" w:rsidR="006035BA" w:rsidRPr="0042599A" w:rsidRDefault="006035BA" w:rsidP="00634CB4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FIESER, B.G.; HORN, G.W.; EDWARDS, J.T. Effects of energy, mineral supplementation, or both, in combination with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monensin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 performance of steers grazing winter wheat pasture.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v.85, p.3470-3480, 2007. DOI: https://doi.org/</w:t>
      </w:r>
      <w:hyperlink r:id="rId16" w:history="1">
        <w:r w:rsidRPr="0042599A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10.2527/jas.2007-0127</w:t>
        </w:r>
      </w:hyperlink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58953003" w14:textId="07E2FECB" w:rsidR="006035BA" w:rsidRPr="0042599A" w:rsidRDefault="006035BA" w:rsidP="00F31940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HORWITZ, W. (Ed.).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Official methods of analysis of AOAC International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17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th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ed.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Gaithesburg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A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ssociation of Official Analytical Chemists, 2000. 1219p.</w:t>
      </w:r>
    </w:p>
    <w:p w14:paraId="6E5FC5B1" w14:textId="77777777" w:rsidR="006035BA" w:rsidRPr="0042599A" w:rsidRDefault="006035BA" w:rsidP="00634CB4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JEFFERS, T.K.; TONKINSON, L.V.; CALLENDER, M.E.; SCHLEGEL, B.F.; REID, W.M. Anticoccidial efficacy of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floor pen trials.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Poultry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v.67, p.1050-1057, 1988. DOI: https://doi.org/</w:t>
      </w:r>
      <w:hyperlink r:id="rId17" w:tgtFrame="_blank" w:history="1">
        <w:r w:rsidRPr="0042599A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10.3382/ps.0671050</w:t>
        </w:r>
      </w:hyperlink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6B301900" w14:textId="77777777" w:rsidR="006035BA" w:rsidRPr="0042599A" w:rsidRDefault="006035BA" w:rsidP="00634CB4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NEPOMUCENO, D.D.; PIRES, A.V.; FERRAZ JUNIOR, M.V.C.; BIEHL, M.V.; GONÇALVES, J.R.S.; MOREIRA, E.M.; DAY, M.L. Effect of pre-partum dam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supplementation, creep-feeding and post-weaning feedlot on age at puberty in Nellore heifers.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Livestock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v.195, p.58-62, 2017. DOI: https://doi.org/10.1016/j.livsci.2016.11.008.</w:t>
      </w:r>
    </w:p>
    <w:p w14:paraId="2F3BFF06" w14:textId="0547C220" w:rsidR="006035BA" w:rsidRPr="0042599A" w:rsidRDefault="006035BA" w:rsidP="00E86F05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OLIVEIRA, G.; POLIZEL, D.; FERRAZ JR., M.; MISZURA, A.; BERTOLONI, A.; BARROSO, J.; MARTINS, A.; SARDINA, L.; PIRES, A. Effects of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supplementation frequency on lambs performance.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v.96, p.472-473, 2018. Suppl. 3. DOI: https://doi.org/10.1093/jas/sky404.1032.</w:t>
      </w:r>
    </w:p>
    <w:p w14:paraId="2BB363EB" w14:textId="2CEF016B" w:rsidR="006035BA" w:rsidRPr="0042599A" w:rsidRDefault="006035BA" w:rsidP="00A326D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POLIZEL, D.M.; BARBOSA, M.J.P.T.; CAPPELLOZZA, B.I.; LOPES, C.N.; FERRAZ JUNIOR, M.V.C.; GOBATO, L.G.M.; GOLCALVES, J.R.S.; PIRES, A.V. The addition of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into a mineral mixture improves performance of grazing Nellore steers.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v.95, p.267, 2017. Suppl. 4. DOI: https://doi.org/10.2527/asasann.2017.545.</w:t>
      </w:r>
    </w:p>
    <w:p w14:paraId="1C0D06F0" w14:textId="75A484E1" w:rsidR="006035BA" w:rsidRPr="0042599A" w:rsidRDefault="006035BA" w:rsidP="00634CB4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POLIZEL, D.M.; CAPPELLOZZA, B.I.; HOE, F.; LOPES, C.N.; BARROSO, J.P.; MISZURA, A.; OLIVEIRA, G.B.; GOBATO, L.; PIRES, A.V. Effects of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supplementation on dry matter intake and rumen fermentation characteristics of </w:t>
      </w:r>
      <w:r w:rsidRPr="0042599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Bos indicus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steers fed a high-forage diet.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Translational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v.4, p.118-128, 2020. DOI: https://doi.org/10.1093/tas/txz164.</w:t>
      </w:r>
    </w:p>
    <w:p w14:paraId="3ACFF37D" w14:textId="1DCDE5E5" w:rsidR="006035BA" w:rsidRPr="0042599A" w:rsidRDefault="006035BA" w:rsidP="00AD0FFE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POLIZEL, D.M.; FERRAZ JUNIOR, M.; MISZURA, A.; BARROSO, J.; MARTINS, A.; GONCALVES, J.</w:t>
      </w:r>
      <w:r w:rsidRPr="0042599A" w:rsidDel="00166C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; LIMEDE, A.; CAPPELLOZZA, B.; FERREIRA, E.; PIRES, A.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improves performance of grazing Nellore yearling bulls.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v.96, p.447, 2018. Suppl. 3. DOI: https://doi.org/10.1093/jas/sky404.976.</w:t>
      </w:r>
    </w:p>
    <w:p w14:paraId="56BCD521" w14:textId="77777777" w:rsidR="006035BA" w:rsidRPr="0042599A" w:rsidRDefault="006035BA" w:rsidP="00634CB4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POPPI, D.P.; MCLENNAN, S.R. Protein and energy utilization by ruminants at pasture.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Animal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v.73, p.278-290, 1995. DOI: https://doi.org/</w:t>
      </w:r>
      <w:hyperlink r:id="rId18" w:history="1">
        <w:r w:rsidRPr="0042599A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10.2527/1995.731278x</w:t>
        </w:r>
      </w:hyperlink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25494136" w14:textId="3BAEDA39" w:rsidR="006035BA" w:rsidRPr="00F435D2" w:rsidRDefault="006035BA" w:rsidP="00634CB4">
      <w:pPr>
        <w:pStyle w:val="PargrafodaLista"/>
        <w:spacing w:after="0" w:line="480" w:lineRule="auto"/>
        <w:ind w:left="0"/>
        <w:jc w:val="both"/>
        <w:rPr>
          <w:rFonts w:ascii="Times" w:hAnsi="Times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RUSSELL, J.B.; STROBEL, H.J. Effect of ionophores on ruminal fermentation.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Applied Environmental Microbiology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v.55, p.1-6, 1989. DOI: </w:t>
      </w:r>
      <w:hyperlink r:id="rId19" w:tgtFrame="_blank" w:history="1">
        <w:r w:rsidRPr="00F435D2">
          <w:rPr>
            <w:rStyle w:val="Hyperlink"/>
            <w:rFonts w:ascii="Times" w:hAnsi="Times" w:cs="Arial"/>
            <w:color w:val="000000" w:themeColor="text1"/>
            <w:sz w:val="21"/>
            <w:szCs w:val="21"/>
            <w:u w:val="none"/>
            <w:lang w:val="en-US"/>
          </w:rPr>
          <w:t>https://doi.org/10.1128/AEM.55.1.1-6.1989</w:t>
        </w:r>
      </w:hyperlink>
      <w:r w:rsidRPr="00F435D2">
        <w:rPr>
          <w:rFonts w:ascii="Times" w:hAnsi="Times"/>
          <w:color w:val="000000" w:themeColor="text1"/>
          <w:lang w:val="en-US"/>
        </w:rPr>
        <w:t>.</w:t>
      </w:r>
    </w:p>
    <w:p w14:paraId="06576F84" w14:textId="77777777" w:rsidR="006035BA" w:rsidRPr="0042599A" w:rsidRDefault="006035BA" w:rsidP="00504583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SARTORI, E.D.; CANELLAS, L.C.; PEREIRA, G.R.; MOOJEN, F.G.; CARVALHO, H.R.; BARCELLOS, J.O.J. Performance of beef heifers supplemented with sodium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lasalocid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Tropical Animal Health Production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v.49, p.273-279, 2017. DOI: https://doi.org/</w:t>
      </w:r>
      <w:hyperlink r:id="rId20" w:tgtFrame="_blank" w:history="1">
        <w:r w:rsidRPr="0042599A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10.1007/s11250-016-1188-1</w:t>
        </w:r>
      </w:hyperlink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635DC596" w14:textId="77777777" w:rsidR="006035BA" w:rsidRPr="0042599A" w:rsidRDefault="006035BA" w:rsidP="00575CD8">
      <w:pPr>
        <w:pStyle w:val="PargrafodaLista"/>
        <w:spacing w:after="0" w:line="480" w:lineRule="auto"/>
        <w:ind w:left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SILVA, R.R.; PRADO, I.N. do; CARVALHO, G.G.P. de; SILVA, F.F. da; ALMEIDA, V.V.S. de; SANTANA JÚNIOR, H.A. de; PAIXÃO, M.L.; ABREU FILHO, G. Níveis de suplementação na terminação de novilhos Nelore em pastagens: aspectos econômicos.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Revista Brasileira de Zootecnia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259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>v.39, p.2091-2097, 2010. DOI: https://doi.org/10.1590/S1516-35982010000900030</w:t>
      </w:r>
      <w:r w:rsidRPr="00425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1F71F2E5" w14:textId="77777777" w:rsidR="006035BA" w:rsidRPr="0042599A" w:rsidRDefault="006035BA" w:rsidP="00504583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VAN SOEST, P.J.; ROBERTSON, J.B.; LEWIS, B.A. Methods for dietary fiber, neutral detergent fiber, and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nonstarch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polysaccharides in relation to animal nutrition.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Journal of Dairy Science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v.74, p.3583-3597, 1991. DOI: https://doi.org/</w:t>
      </w:r>
      <w:hyperlink r:id="rId21" w:tgtFrame="_blank" w:history="1">
        <w:r w:rsidRPr="0042599A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10.3168/jds.S0022-0302(91)78551-2</w:t>
        </w:r>
      </w:hyperlink>
      <w:r w:rsidRPr="004259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71800824" w14:textId="3DF6865D" w:rsidR="006035BA" w:rsidRPr="009B18CF" w:rsidRDefault="006035BA" w:rsidP="00575CD8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ZANETTI, M.A.; RESENDE, J.M.L.; SCHALCH, F.; MIOTTO, C.M. Desempenho de novilhos consumindo suplemento mineral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>proteinado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convencional ou com </w:t>
      </w:r>
      <w:proofErr w:type="spellStart"/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>uréia</w:t>
      </w:r>
      <w:proofErr w:type="spellEnd"/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259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Revista Brasileira de Zootecnia</w:t>
      </w:r>
      <w:r w:rsidRPr="0042599A">
        <w:rPr>
          <w:rFonts w:ascii="Times New Roman" w:hAnsi="Times New Roman" w:cs="Times New Roman"/>
          <w:color w:val="000000" w:themeColor="text1"/>
          <w:sz w:val="24"/>
          <w:szCs w:val="24"/>
        </w:rPr>
        <w:t>, v.29, p.935-939, 2000. DOI: https://doi.org/10.1590/S1516-35982000000300040.</w:t>
      </w:r>
    </w:p>
    <w:p w14:paraId="19756750" w14:textId="77777777" w:rsidR="00575CD8" w:rsidRPr="009B18CF" w:rsidRDefault="00575CD8" w:rsidP="00504583">
      <w:pPr>
        <w:pStyle w:val="PargrafodaLista"/>
        <w:spacing w:after="0"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8A51F9" w14:textId="77777777" w:rsidR="00744FBC" w:rsidRPr="009B18CF" w:rsidRDefault="00744FBC" w:rsidP="0050458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41395885" w14:textId="6410E53F" w:rsidR="00793557" w:rsidRPr="00733D12" w:rsidRDefault="00793557" w:rsidP="00504583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33D12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Table 1</w:t>
      </w:r>
      <w:r w:rsidR="002A4F49" w:rsidRPr="00733D12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  <w:r w:rsidRPr="00733D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44751" w:rsidRPr="00733D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Warranty levels </w:t>
      </w:r>
      <w:r w:rsidRPr="00690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</w:t>
      </w:r>
      <w:r w:rsidR="00D31F7C" w:rsidRPr="00690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Pr="00690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expe</w:t>
      </w:r>
      <w:r w:rsidR="00102C8B" w:rsidRPr="00690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rimental supplements</w:t>
      </w:r>
      <w:r w:rsidR="00010BC2" w:rsidRPr="006906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(1)</w:t>
      </w:r>
      <w:r w:rsidR="00D31F7C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tbl>
      <w:tblPr>
        <w:tblW w:w="9020" w:type="dxa"/>
        <w:jc w:val="center"/>
        <w:tblCellMar>
          <w:left w:w="70" w:type="dxa"/>
          <w:right w:w="70" w:type="dxa"/>
        </w:tblCellMar>
        <w:tblLook w:val="0480" w:firstRow="0" w:lastRow="0" w:firstColumn="1" w:lastColumn="0" w:noHBand="0" w:noVBand="1"/>
      </w:tblPr>
      <w:tblGrid>
        <w:gridCol w:w="4137"/>
        <w:gridCol w:w="851"/>
        <w:gridCol w:w="851"/>
        <w:gridCol w:w="977"/>
        <w:gridCol w:w="927"/>
        <w:gridCol w:w="174"/>
        <w:gridCol w:w="1103"/>
      </w:tblGrid>
      <w:tr w:rsidR="00793557" w:rsidRPr="00662287" w14:paraId="49D554CD" w14:textId="77777777" w:rsidTr="008D6E46">
        <w:trPr>
          <w:trHeight w:val="283"/>
          <w:jc w:val="center"/>
        </w:trPr>
        <w:tc>
          <w:tcPr>
            <w:tcW w:w="4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C45A" w14:textId="1A79BC3B" w:rsidR="00793557" w:rsidRPr="009B18CF" w:rsidRDefault="00201EFD" w:rsidP="0050458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I</w:t>
            </w:r>
            <w:r w:rsidR="00D31F7C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ngredients</w:t>
            </w:r>
            <w:r w:rsidR="00010BC2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 </w:t>
            </w:r>
            <w:r w:rsidR="00D31F7C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(</w:t>
            </w:r>
            <w:r w:rsidR="00010BC2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g</w:t>
            </w:r>
            <w:r w:rsidR="00D31F7C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 </w:t>
            </w:r>
            <w:r w:rsidR="00010BC2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kg</w:t>
            </w:r>
            <w:r w:rsidR="00D31F7C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 w:eastAsia="pt-BR"/>
              </w:rPr>
              <w:t>-1</w:t>
            </w:r>
            <w:r w:rsidR="00010BC2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 DM</w:t>
            </w:r>
            <w:r w:rsidR="00D31F7C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88F7" w14:textId="77777777" w:rsidR="00793557" w:rsidRPr="009B18CF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CON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1E29" w14:textId="7E136FBF" w:rsidR="00793557" w:rsidRPr="009B18CF" w:rsidRDefault="00102C8B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N</w:t>
            </w:r>
            <w:r w:rsidR="00793557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1800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C7BC" w14:textId="1D526A67" w:rsidR="00793557" w:rsidRPr="009B18CF" w:rsidRDefault="00102C8B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N</w:t>
            </w:r>
            <w:r w:rsidR="00793557"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2750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6405" w14:textId="77777777" w:rsidR="00793557" w:rsidRPr="009B18CF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PROT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DCCC" w14:textId="77777777" w:rsidR="00793557" w:rsidRPr="009B18CF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9B18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PROT 360</w:t>
            </w:r>
          </w:p>
        </w:tc>
      </w:tr>
      <w:tr w:rsidR="00793557" w:rsidRPr="00662287" w14:paraId="528202A5" w14:textId="77777777" w:rsidTr="008D6E46">
        <w:trPr>
          <w:trHeight w:val="283"/>
          <w:jc w:val="center"/>
        </w:trPr>
        <w:tc>
          <w:tcPr>
            <w:tcW w:w="41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1C62" w14:textId="702AAD72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Calcium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A243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A2D4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135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8B96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135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DAE5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50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887D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50</w:t>
            </w:r>
          </w:p>
        </w:tc>
      </w:tr>
      <w:tr w:rsidR="00793557" w:rsidRPr="00662287" w14:paraId="382F15F0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60AC489C" w14:textId="4B36D9AE" w:rsidR="00793557" w:rsidRPr="00662287" w:rsidRDefault="00793557" w:rsidP="0018274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Phosphor</w:t>
            </w:r>
            <w:r w:rsidR="00182746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us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6A6C40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C7BC73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90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6E956283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90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73F13A84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085ECEC5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</w:t>
            </w:r>
          </w:p>
        </w:tc>
      </w:tr>
      <w:tr w:rsidR="00793557" w:rsidRPr="00662287" w14:paraId="362EE268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01695EC6" w14:textId="03019CCD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Sodium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658974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56F178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125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3E7A7517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125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7AEACDCA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CE5C7CE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20</w:t>
            </w:r>
          </w:p>
        </w:tc>
      </w:tr>
      <w:tr w:rsidR="00793557" w:rsidRPr="00662287" w14:paraId="2A3DF3BE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3FB08EF1" w14:textId="09433713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Magnesium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688140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335BF4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4C5B621A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10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68CF5DB4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764AAF8F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</w:tr>
      <w:tr w:rsidR="00793557" w:rsidRPr="00662287" w14:paraId="49EB655F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25BC7DFE" w14:textId="58BBDF95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Sulfur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3A3511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12A512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40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4D53597D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40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119CE1DC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4A917968" w14:textId="7777777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</w:t>
            </w:r>
          </w:p>
        </w:tc>
      </w:tr>
      <w:tr w:rsidR="00793557" w:rsidRPr="00662287" w14:paraId="436940AE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669CB823" w14:textId="5DE18A4B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Zinc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51139F" w14:textId="0D3D2268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6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6A8CBC" w14:textId="7D5DBA42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6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3CA5D732" w14:textId="0FBF64F3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6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413D7D45" w14:textId="3C907234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85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6EFB8D51" w14:textId="0C7A0A03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85</w:t>
            </w:r>
          </w:p>
        </w:tc>
      </w:tr>
      <w:tr w:rsidR="00793557" w:rsidRPr="00662287" w14:paraId="16FD019B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37E32E8D" w14:textId="5C117EC9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Copper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7D9ACF" w14:textId="40DED5C1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A8CAE4" w14:textId="3FBB1D96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67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687C88E8" w14:textId="086AE07B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67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0C9D24B2" w14:textId="0732921F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23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0395702C" w14:textId="3A1C7505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23</w:t>
            </w:r>
          </w:p>
        </w:tc>
      </w:tr>
      <w:tr w:rsidR="00793557" w:rsidRPr="00662287" w14:paraId="6ED3CA07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033364F0" w14:textId="61AB27BE" w:rsidR="00793557" w:rsidRPr="00662287" w:rsidRDefault="00793557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Fluorine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B4058E" w14:textId="70C21EC6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460589" w14:textId="6223899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5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074F274C" w14:textId="086242D8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5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02A34FE0" w14:textId="3CAB1BE8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4E3BFFDE" w14:textId="0B5A590B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</w:tr>
      <w:tr w:rsidR="00793557" w:rsidRPr="00662287" w14:paraId="4B0EBD1C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4DFA7257" w14:textId="5DB881D3" w:rsidR="00793557" w:rsidRPr="00662287" w:rsidRDefault="00793557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Manganese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0160EE" w14:textId="2416B298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F03E75" w14:textId="15CE4285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29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4A9910F4" w14:textId="24DA9EDE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29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6D2C439E" w14:textId="720D671D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562B0294" w14:textId="0739B3C8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</w:t>
            </w:r>
          </w:p>
        </w:tc>
      </w:tr>
      <w:tr w:rsidR="00793557" w:rsidRPr="00662287" w14:paraId="18B85CBD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0F79B0BE" w14:textId="54BE22D4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Cobalt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7E2D22" w14:textId="4BB2B70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964F76" w14:textId="22246A4D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5273411A" w14:textId="6A0ECEE2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2A95571E" w14:textId="552395CF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014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3E3BD71E" w14:textId="5136FAA5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014</w:t>
            </w:r>
          </w:p>
        </w:tc>
      </w:tr>
      <w:tr w:rsidR="00793557" w:rsidRPr="00662287" w14:paraId="79BE4E40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73CA7308" w14:textId="6E0CDEA5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Iodine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ABF8D6" w14:textId="453A5A9E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75F831" w14:textId="6AB32E98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124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20BF5076" w14:textId="770F7D31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124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667E7E7B" w14:textId="2842CA4C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016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DC716B1" w14:textId="25578513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016</w:t>
            </w:r>
          </w:p>
        </w:tc>
      </w:tr>
      <w:tr w:rsidR="00793557" w:rsidRPr="00662287" w14:paraId="41B2BE5D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  <w:hideMark/>
          </w:tcPr>
          <w:p w14:paraId="14CCF82C" w14:textId="421804B0" w:rsidR="00793557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Selenium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595A79" w14:textId="2998FDF9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F0870E" w14:textId="6D540BA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032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327A1FA5" w14:textId="4C4FE979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032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  <w:hideMark/>
          </w:tcPr>
          <w:p w14:paraId="121CC4A7" w14:textId="30BC9EB3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004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74B0E79F" w14:textId="4F210767" w:rsidR="00793557" w:rsidRPr="00662287" w:rsidRDefault="00793557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  <w:r w:rsidR="00AD0380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.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004</w:t>
            </w:r>
          </w:p>
        </w:tc>
      </w:tr>
      <w:tr w:rsidR="00010BC2" w:rsidRPr="00662287" w14:paraId="3A1ED1E2" w14:textId="77777777" w:rsidTr="008D6E46">
        <w:trPr>
          <w:trHeight w:val="283"/>
          <w:jc w:val="center"/>
        </w:trPr>
        <w:tc>
          <w:tcPr>
            <w:tcW w:w="4137" w:type="dxa"/>
            <w:shd w:val="clear" w:color="auto" w:fill="auto"/>
            <w:noWrap/>
            <w:vAlign w:val="bottom"/>
          </w:tcPr>
          <w:p w14:paraId="649ED949" w14:textId="1249D589" w:rsidR="00010BC2" w:rsidRPr="00662287" w:rsidRDefault="00010BC2" w:rsidP="00010BC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Crude </w:t>
            </w:r>
            <w:r w:rsidR="00182746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p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rotein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D02BED4" w14:textId="1C3D3B2F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D5FA7C7" w14:textId="741439AF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</w:p>
        </w:tc>
        <w:tc>
          <w:tcPr>
            <w:tcW w:w="977" w:type="dxa"/>
            <w:shd w:val="clear" w:color="auto" w:fill="auto"/>
            <w:noWrap/>
            <w:vAlign w:val="center"/>
          </w:tcPr>
          <w:p w14:paraId="49B45230" w14:textId="46F5F6F2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center"/>
          </w:tcPr>
          <w:p w14:paraId="25C1CD90" w14:textId="650F6BDE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220</w:t>
            </w: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16F7C3CA" w14:textId="1BAA0834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220</w:t>
            </w:r>
          </w:p>
        </w:tc>
      </w:tr>
      <w:tr w:rsidR="00010BC2" w:rsidRPr="00662287" w14:paraId="0C3B5877" w14:textId="77777777" w:rsidTr="008D6E46">
        <w:trPr>
          <w:trHeight w:val="283"/>
          <w:jc w:val="center"/>
        </w:trPr>
        <w:tc>
          <w:tcPr>
            <w:tcW w:w="41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DC84" w14:textId="3770A293" w:rsidR="00010BC2" w:rsidRPr="00662287" w:rsidRDefault="00010BC2" w:rsidP="00B5596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proofErr w:type="spellStart"/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Narasin</w:t>
            </w:r>
            <w:proofErr w:type="spellEnd"/>
            <w:r w:rsidR="00844751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 w:eastAsia="pt-BR"/>
              </w:rPr>
              <w:t>(2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 w:eastAsia="pt-BR"/>
              </w:rPr>
              <w:t>)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 </w:t>
            </w:r>
            <w:r w:rsidR="00D31F7C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(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mg</w:t>
            </w:r>
            <w:r w:rsidR="00D31F7C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 per </w:t>
            </w: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 xml:space="preserve">kg of </w:t>
            </w:r>
            <w:r w:rsidR="00B559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dry matter</w:t>
            </w:r>
            <w:r w:rsidR="00D31F7C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688E" w14:textId="77777777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D6B2" w14:textId="1BEE7BDE" w:rsidR="00010BC2" w:rsidRPr="00662287" w:rsidRDefault="00010BC2" w:rsidP="000005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18</w:t>
            </w:r>
            <w:r w:rsidR="00000539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00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3810" w14:textId="6397E99D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275</w:t>
            </w:r>
            <w:r w:rsidR="00000539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B001" w14:textId="77777777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E94F" w14:textId="72781D73" w:rsidR="00010BC2" w:rsidRPr="00662287" w:rsidRDefault="00010BC2" w:rsidP="008D6E4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</w:pPr>
            <w:r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36</w:t>
            </w:r>
            <w:r w:rsidR="00000539" w:rsidRPr="0066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pt-BR"/>
              </w:rPr>
              <w:t>0</w:t>
            </w:r>
          </w:p>
        </w:tc>
      </w:tr>
    </w:tbl>
    <w:p w14:paraId="66CB2FBF" w14:textId="0120473B" w:rsidR="00775F31" w:rsidRPr="00773970" w:rsidRDefault="00010BC2" w:rsidP="00E53FAC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28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(1)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CON, m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ineral supplement; 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N1800 and N2750, 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mineral supplement + 1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800 or 2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750 mg </w:t>
      </w:r>
      <w:proofErr w:type="spellStart"/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BellNutri</w:t>
      </w:r>
      <w:proofErr w:type="spellEnd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90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Trouw</w:t>
      </w:r>
      <w:proofErr w:type="spellEnd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Nutrition, </w:t>
      </w:r>
      <w:proofErr w:type="spellStart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Mirassol</w:t>
      </w:r>
      <w:proofErr w:type="spellEnd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SP, Brazil);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 and PROT 360, p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rotein mineral supplement 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 + 360</w:t>
      </w:r>
      <w:r w:rsidR="00D043D9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mg of </w:t>
      </w:r>
      <w:proofErr w:type="spellStart"/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respectively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Lambisk</w:t>
      </w:r>
      <w:proofErr w:type="spellEnd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SA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Trouw</w:t>
      </w:r>
      <w:proofErr w:type="spellEnd"/>
      <w:r w:rsidR="00844751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Nutrition, Campinas, SP, Brazil</w:t>
      </w:r>
      <w:r w:rsidR="00E53FAC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  <w:r w:rsidR="005E4DBE" w:rsidRPr="006622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9B18C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(2)</w:t>
      </w:r>
      <w:proofErr w:type="spellStart"/>
      <w:r w:rsidR="0009740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Zimprova</w:t>
      </w:r>
      <w:proofErr w:type="spellEnd"/>
      <w:r w:rsidR="00B5596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740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100</w:t>
      </w:r>
      <w:r w:rsidR="00B5596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B5596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Elanco</w:t>
      </w:r>
      <w:proofErr w:type="spellEnd"/>
      <w:r w:rsidR="00B5596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Saúde Animal, São Paulo, SP, </w:t>
      </w:r>
      <w:proofErr w:type="spellStart"/>
      <w:r w:rsidR="00B5596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Brazil</w:t>
      </w:r>
      <w:proofErr w:type="spellEnd"/>
      <w:r w:rsidR="00B5596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E4DBE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E4DBE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containing</w:t>
      </w:r>
      <w:proofErr w:type="spellEnd"/>
      <w:r w:rsidR="0009740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4DBE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10% </w:t>
      </w:r>
      <w:proofErr w:type="spellStart"/>
      <w:r w:rsidR="005E4DBE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 w:rsidR="005E4DBE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E4DBE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narasin</w:t>
      </w:r>
      <w:proofErr w:type="spellEnd"/>
      <w:r w:rsidR="00097404" w:rsidRPr="009B18C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98CDE29" w14:textId="77777777" w:rsidR="00945AE6" w:rsidRDefault="00945AE6" w:rsidP="00E53FAC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F04806" w14:textId="152919DB" w:rsidR="00945AE6" w:rsidRPr="009B18CF" w:rsidRDefault="00945AE6" w:rsidP="00E53FAC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45AE6" w:rsidRPr="009B18CF" w:rsidSect="00504583">
          <w:headerReference w:type="default" r:id="rId22"/>
          <w:pgSz w:w="11906" w:h="16838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  <w:r w:rsidRPr="009B18C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Ao formatador: favor retirar negrito do texto de todas as tabelas; tirei mas reaparece toda vez que reabro o documento.</w:t>
      </w:r>
    </w:p>
    <w:p w14:paraId="1BF3AD6C" w14:textId="1239CB86" w:rsidR="007522FC" w:rsidRPr="00737F90" w:rsidRDefault="007522FC" w:rsidP="00504583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Table 2</w:t>
      </w:r>
      <w:r w:rsidR="002A4F49"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45AE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="00945AE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orage </w:t>
      </w:r>
      <w:r w:rsidR="00945AE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uantity and quality according to treatment</w:t>
      </w:r>
      <w:r w:rsidR="00A317E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2A4F4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tbl>
      <w:tblPr>
        <w:tblStyle w:val="TabelaSimples21"/>
        <w:tblW w:w="5027" w:type="pct"/>
        <w:tblLayout w:type="fixed"/>
        <w:tblLook w:val="0620" w:firstRow="1" w:lastRow="0" w:firstColumn="0" w:lastColumn="0" w:noHBand="1" w:noVBand="1"/>
      </w:tblPr>
      <w:tblGrid>
        <w:gridCol w:w="2635"/>
        <w:gridCol w:w="968"/>
        <w:gridCol w:w="968"/>
        <w:gridCol w:w="968"/>
        <w:gridCol w:w="1016"/>
        <w:gridCol w:w="1415"/>
        <w:gridCol w:w="940"/>
        <w:gridCol w:w="665"/>
        <w:gridCol w:w="747"/>
        <w:gridCol w:w="747"/>
        <w:gridCol w:w="747"/>
        <w:gridCol w:w="943"/>
        <w:gridCol w:w="1274"/>
      </w:tblGrid>
      <w:tr w:rsidR="007522FC" w:rsidRPr="00662287" w14:paraId="6B312640" w14:textId="77777777" w:rsidTr="009B1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7"/>
        </w:trPr>
        <w:tc>
          <w:tcPr>
            <w:tcW w:w="939" w:type="pct"/>
            <w:vMerge w:val="restart"/>
            <w:tcBorders>
              <w:top w:val="single" w:sz="4" w:space="0" w:color="auto"/>
            </w:tcBorders>
            <w:vAlign w:val="center"/>
          </w:tcPr>
          <w:p w14:paraId="6E50C573" w14:textId="4E418CB3" w:rsidR="007522FC" w:rsidRPr="009B18CF" w:rsidRDefault="00000233" w:rsidP="0050458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Item</w:t>
            </w:r>
          </w:p>
        </w:tc>
        <w:tc>
          <w:tcPr>
            <w:tcW w:w="190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3B5FA" w14:textId="43BF91A2" w:rsidR="007522FC" w:rsidRPr="009B18CF" w:rsidRDefault="00983CE3" w:rsidP="00183B07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Treatmen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t</w:t>
            </w:r>
            <w:r w:rsidR="008D6E46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</w:tcBorders>
            <w:vAlign w:val="center"/>
          </w:tcPr>
          <w:p w14:paraId="2859128F" w14:textId="0876F50A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SEM</w:t>
            </w:r>
            <w:r w:rsidR="008D6E46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vertAlign w:val="superscript"/>
                <w:lang w:val="en-US"/>
              </w:rPr>
              <w:t>(2)</w:t>
            </w:r>
          </w:p>
        </w:tc>
        <w:tc>
          <w:tcPr>
            <w:tcW w:w="182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9D083" w14:textId="2742CF31" w:rsidR="007522FC" w:rsidRPr="009B18CF" w:rsidRDefault="00B6369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p</w:t>
            </w:r>
            <w:r w:rsidR="005320C5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-value</w:t>
            </w:r>
            <w:r w:rsidR="008D6E46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vertAlign w:val="superscript"/>
                <w:lang w:val="en-US"/>
              </w:rPr>
              <w:t>(3)</w:t>
            </w:r>
          </w:p>
        </w:tc>
      </w:tr>
      <w:tr w:rsidR="00CD454B" w:rsidRPr="00662287" w14:paraId="7506F105" w14:textId="77777777" w:rsidTr="009B18CF">
        <w:trPr>
          <w:trHeight w:val="451"/>
        </w:trPr>
        <w:tc>
          <w:tcPr>
            <w:tcW w:w="939" w:type="pct"/>
            <w:vMerge/>
            <w:tcBorders>
              <w:bottom w:val="single" w:sz="4" w:space="0" w:color="auto"/>
            </w:tcBorders>
            <w:vAlign w:val="center"/>
          </w:tcPr>
          <w:p w14:paraId="57955E68" w14:textId="77777777" w:rsidR="007522FC" w:rsidRPr="009B18CF" w:rsidRDefault="007522FC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3B10C" w14:textId="0BD12E8E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CON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BD719" w14:textId="3E3D20ED" w:rsidR="007522FC" w:rsidRPr="009B18CF" w:rsidRDefault="00102C8B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N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1800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7CDB3" w14:textId="1F32F3DA" w:rsidR="007522FC" w:rsidRPr="009B18CF" w:rsidRDefault="00102C8B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N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2750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09E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PROT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85790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PROT 360</w:t>
            </w:r>
          </w:p>
        </w:tc>
        <w:tc>
          <w:tcPr>
            <w:tcW w:w="335" w:type="pct"/>
            <w:vMerge/>
            <w:tcBorders>
              <w:bottom w:val="single" w:sz="4" w:space="0" w:color="auto"/>
            </w:tcBorders>
            <w:vAlign w:val="center"/>
          </w:tcPr>
          <w:p w14:paraId="57E3E4F6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38D4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I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0D54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II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407B9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III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91DB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IV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7048D" w14:textId="5F1166B7" w:rsidR="007522FC" w:rsidRPr="009B18CF" w:rsidRDefault="008D6E46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vertAlign w:val="superscript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Peri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od</w:t>
            </w:r>
            <w:r w:rsidR="00A878D8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vertAlign w:val="superscript"/>
                <w:lang w:val="en-US"/>
              </w:rPr>
              <w:t>(4)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658BC" w14:textId="7643F1A0" w:rsidR="007522FC" w:rsidRPr="009B18CF" w:rsidRDefault="007522FC" w:rsidP="008D6E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proofErr w:type="spellStart"/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Treat</w:t>
            </w:r>
            <w:r w:rsidR="008D6E46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×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Per</w:t>
            </w:r>
            <w:proofErr w:type="spellEnd"/>
            <w:r w:rsidR="00B63699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vertAlign w:val="superscript"/>
                <w:lang w:val="en-US"/>
              </w:rPr>
              <w:t>(5)</w:t>
            </w:r>
          </w:p>
        </w:tc>
      </w:tr>
      <w:tr w:rsidR="007522FC" w:rsidRPr="00662287" w14:paraId="202EDFCA" w14:textId="77777777" w:rsidTr="009B18CF">
        <w:trPr>
          <w:trHeight w:val="427"/>
        </w:trPr>
        <w:tc>
          <w:tcPr>
            <w:tcW w:w="939" w:type="pct"/>
            <w:tcBorders>
              <w:top w:val="single" w:sz="4" w:space="0" w:color="auto"/>
            </w:tcBorders>
            <w:vAlign w:val="center"/>
          </w:tcPr>
          <w:p w14:paraId="26594D05" w14:textId="51D97C92" w:rsidR="007522FC" w:rsidRPr="009B18CF" w:rsidRDefault="007522FC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Forage </w:t>
            </w:r>
            <w:r w:rsidR="00087842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availability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r w:rsidR="00052E3E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(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DM</w:t>
            </w:r>
            <w:r w:rsidR="00052E3E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)</w:t>
            </w:r>
          </w:p>
        </w:tc>
        <w:tc>
          <w:tcPr>
            <w:tcW w:w="345" w:type="pct"/>
            <w:tcBorders>
              <w:top w:val="single" w:sz="4" w:space="0" w:color="auto"/>
            </w:tcBorders>
            <w:vAlign w:val="center"/>
          </w:tcPr>
          <w:p w14:paraId="4AEC8A90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</w:tcBorders>
            <w:vAlign w:val="center"/>
          </w:tcPr>
          <w:p w14:paraId="6F8C96AB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</w:tcBorders>
            <w:vAlign w:val="center"/>
          </w:tcPr>
          <w:p w14:paraId="7F7D0E96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vAlign w:val="center"/>
          </w:tcPr>
          <w:p w14:paraId="7BA5830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</w:tcPr>
          <w:p w14:paraId="17A1A5F3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4" w:space="0" w:color="auto"/>
            </w:tcBorders>
            <w:vAlign w:val="center"/>
          </w:tcPr>
          <w:p w14:paraId="2F682A7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37" w:type="pct"/>
            <w:tcBorders>
              <w:top w:val="single" w:sz="4" w:space="0" w:color="auto"/>
            </w:tcBorders>
            <w:vAlign w:val="center"/>
          </w:tcPr>
          <w:p w14:paraId="4A3263E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vAlign w:val="center"/>
          </w:tcPr>
          <w:p w14:paraId="0A30AAF5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vAlign w:val="center"/>
          </w:tcPr>
          <w:p w14:paraId="081B3866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vAlign w:val="center"/>
          </w:tcPr>
          <w:p w14:paraId="174F47C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center"/>
          </w:tcPr>
          <w:p w14:paraId="57820D10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454" w:type="pct"/>
            <w:tcBorders>
              <w:top w:val="single" w:sz="4" w:space="0" w:color="auto"/>
            </w:tcBorders>
            <w:vAlign w:val="center"/>
          </w:tcPr>
          <w:p w14:paraId="333C023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</w:tr>
      <w:tr w:rsidR="007522FC" w:rsidRPr="00662287" w14:paraId="70BD0D1D" w14:textId="77777777" w:rsidTr="00F435D2">
        <w:trPr>
          <w:trHeight w:val="451"/>
        </w:trPr>
        <w:tc>
          <w:tcPr>
            <w:tcW w:w="939" w:type="pct"/>
            <w:tcBorders>
              <w:bottom w:val="nil"/>
            </w:tcBorders>
            <w:vAlign w:val="center"/>
          </w:tcPr>
          <w:p w14:paraId="414C0500" w14:textId="0CF11EE0" w:rsidR="007522FC" w:rsidRPr="009B18CF" w:rsidRDefault="00052E3E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Entry (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ton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)</w:t>
            </w:r>
          </w:p>
        </w:tc>
        <w:tc>
          <w:tcPr>
            <w:tcW w:w="345" w:type="pct"/>
            <w:tcBorders>
              <w:bottom w:val="nil"/>
            </w:tcBorders>
            <w:vAlign w:val="center"/>
          </w:tcPr>
          <w:p w14:paraId="1C68A8D2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13.28</w:t>
            </w:r>
          </w:p>
        </w:tc>
        <w:tc>
          <w:tcPr>
            <w:tcW w:w="345" w:type="pct"/>
            <w:tcBorders>
              <w:bottom w:val="nil"/>
            </w:tcBorders>
            <w:vAlign w:val="center"/>
          </w:tcPr>
          <w:p w14:paraId="76212F44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13.16</w:t>
            </w:r>
          </w:p>
        </w:tc>
        <w:tc>
          <w:tcPr>
            <w:tcW w:w="345" w:type="pct"/>
            <w:tcBorders>
              <w:bottom w:val="nil"/>
            </w:tcBorders>
            <w:vAlign w:val="center"/>
          </w:tcPr>
          <w:p w14:paraId="721F3FA2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12.40</w:t>
            </w:r>
          </w:p>
        </w:tc>
        <w:tc>
          <w:tcPr>
            <w:tcW w:w="362" w:type="pct"/>
            <w:tcBorders>
              <w:bottom w:val="nil"/>
            </w:tcBorders>
            <w:vAlign w:val="center"/>
          </w:tcPr>
          <w:p w14:paraId="33D9147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12.59</w:t>
            </w:r>
          </w:p>
        </w:tc>
        <w:tc>
          <w:tcPr>
            <w:tcW w:w="504" w:type="pct"/>
            <w:tcBorders>
              <w:bottom w:val="nil"/>
            </w:tcBorders>
            <w:vAlign w:val="center"/>
          </w:tcPr>
          <w:p w14:paraId="29F35215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12.46</w:t>
            </w:r>
          </w:p>
        </w:tc>
        <w:tc>
          <w:tcPr>
            <w:tcW w:w="335" w:type="pct"/>
            <w:tcBorders>
              <w:bottom w:val="nil"/>
            </w:tcBorders>
            <w:vAlign w:val="center"/>
          </w:tcPr>
          <w:p w14:paraId="76A0A739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0.71</w:t>
            </w:r>
          </w:p>
        </w:tc>
        <w:tc>
          <w:tcPr>
            <w:tcW w:w="237" w:type="pct"/>
            <w:tcBorders>
              <w:bottom w:val="nil"/>
            </w:tcBorders>
            <w:vAlign w:val="center"/>
          </w:tcPr>
          <w:p w14:paraId="0C3C2D5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0.53</w:t>
            </w:r>
          </w:p>
        </w:tc>
        <w:tc>
          <w:tcPr>
            <w:tcW w:w="266" w:type="pct"/>
            <w:tcBorders>
              <w:bottom w:val="nil"/>
            </w:tcBorders>
            <w:vAlign w:val="center"/>
          </w:tcPr>
          <w:p w14:paraId="7BA54C22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0.42</w:t>
            </w:r>
          </w:p>
        </w:tc>
        <w:tc>
          <w:tcPr>
            <w:tcW w:w="266" w:type="pct"/>
            <w:tcBorders>
              <w:bottom w:val="nil"/>
            </w:tcBorders>
            <w:vAlign w:val="center"/>
          </w:tcPr>
          <w:p w14:paraId="0F669E27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0.48</w:t>
            </w:r>
          </w:p>
        </w:tc>
        <w:tc>
          <w:tcPr>
            <w:tcW w:w="266" w:type="pct"/>
            <w:tcBorders>
              <w:bottom w:val="nil"/>
            </w:tcBorders>
            <w:vAlign w:val="center"/>
          </w:tcPr>
          <w:p w14:paraId="6ECE03E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0.89</w:t>
            </w:r>
          </w:p>
        </w:tc>
        <w:tc>
          <w:tcPr>
            <w:tcW w:w="336" w:type="pct"/>
            <w:tcBorders>
              <w:bottom w:val="nil"/>
            </w:tcBorders>
            <w:vAlign w:val="center"/>
          </w:tcPr>
          <w:p w14:paraId="7079790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&lt;0.01</w:t>
            </w:r>
          </w:p>
        </w:tc>
        <w:tc>
          <w:tcPr>
            <w:tcW w:w="454" w:type="pct"/>
            <w:tcBorders>
              <w:bottom w:val="nil"/>
            </w:tcBorders>
            <w:vAlign w:val="center"/>
          </w:tcPr>
          <w:p w14:paraId="7F2605E5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0.20</w:t>
            </w:r>
          </w:p>
        </w:tc>
      </w:tr>
      <w:tr w:rsidR="007522FC" w:rsidRPr="00662287" w14:paraId="5C94B4C8" w14:textId="77777777" w:rsidTr="00F435D2">
        <w:trPr>
          <w:trHeight w:val="427"/>
        </w:trPr>
        <w:tc>
          <w:tcPr>
            <w:tcW w:w="939" w:type="pct"/>
            <w:tcBorders>
              <w:top w:val="nil"/>
              <w:bottom w:val="single" w:sz="4" w:space="0" w:color="auto"/>
            </w:tcBorders>
            <w:vAlign w:val="center"/>
          </w:tcPr>
          <w:p w14:paraId="1FACF32B" w14:textId="501563FA" w:rsidR="007522FC" w:rsidRPr="009B18CF" w:rsidRDefault="00052E3E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Exit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(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ton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)</w:t>
            </w:r>
          </w:p>
        </w:tc>
        <w:tc>
          <w:tcPr>
            <w:tcW w:w="345" w:type="pct"/>
            <w:tcBorders>
              <w:top w:val="nil"/>
              <w:bottom w:val="single" w:sz="4" w:space="0" w:color="auto"/>
            </w:tcBorders>
            <w:vAlign w:val="center"/>
          </w:tcPr>
          <w:p w14:paraId="48F9862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12.02</w:t>
            </w:r>
          </w:p>
        </w:tc>
        <w:tc>
          <w:tcPr>
            <w:tcW w:w="345" w:type="pct"/>
            <w:tcBorders>
              <w:top w:val="nil"/>
              <w:bottom w:val="single" w:sz="4" w:space="0" w:color="auto"/>
            </w:tcBorders>
            <w:vAlign w:val="center"/>
          </w:tcPr>
          <w:p w14:paraId="279D1FC0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11.82</w:t>
            </w:r>
          </w:p>
        </w:tc>
        <w:tc>
          <w:tcPr>
            <w:tcW w:w="345" w:type="pct"/>
            <w:tcBorders>
              <w:top w:val="nil"/>
              <w:bottom w:val="single" w:sz="4" w:space="0" w:color="auto"/>
            </w:tcBorders>
            <w:vAlign w:val="center"/>
          </w:tcPr>
          <w:p w14:paraId="51D7D374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11.51</w:t>
            </w: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14:paraId="5FD7E6A6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10.88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vAlign w:val="center"/>
          </w:tcPr>
          <w:p w14:paraId="78B86284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11.16</w:t>
            </w:r>
          </w:p>
        </w:tc>
        <w:tc>
          <w:tcPr>
            <w:tcW w:w="335" w:type="pct"/>
            <w:tcBorders>
              <w:top w:val="nil"/>
              <w:bottom w:val="single" w:sz="4" w:space="0" w:color="auto"/>
            </w:tcBorders>
            <w:vAlign w:val="center"/>
          </w:tcPr>
          <w:p w14:paraId="54A85797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0.52</w:t>
            </w:r>
          </w:p>
        </w:tc>
        <w:tc>
          <w:tcPr>
            <w:tcW w:w="237" w:type="pct"/>
            <w:tcBorders>
              <w:top w:val="nil"/>
              <w:bottom w:val="single" w:sz="4" w:space="0" w:color="auto"/>
            </w:tcBorders>
            <w:vAlign w:val="center"/>
          </w:tcPr>
          <w:p w14:paraId="59351C96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0.56</w:t>
            </w:r>
          </w:p>
        </w:tc>
        <w:tc>
          <w:tcPr>
            <w:tcW w:w="266" w:type="pct"/>
            <w:tcBorders>
              <w:top w:val="nil"/>
              <w:bottom w:val="single" w:sz="4" w:space="0" w:color="auto"/>
            </w:tcBorders>
            <w:vAlign w:val="center"/>
          </w:tcPr>
          <w:p w14:paraId="65969370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0.65</w:t>
            </w:r>
          </w:p>
        </w:tc>
        <w:tc>
          <w:tcPr>
            <w:tcW w:w="266" w:type="pct"/>
            <w:tcBorders>
              <w:top w:val="nil"/>
              <w:bottom w:val="single" w:sz="4" w:space="0" w:color="auto"/>
            </w:tcBorders>
            <w:vAlign w:val="center"/>
          </w:tcPr>
          <w:p w14:paraId="5CA30D92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0.09</w:t>
            </w:r>
          </w:p>
        </w:tc>
        <w:tc>
          <w:tcPr>
            <w:tcW w:w="266" w:type="pct"/>
            <w:tcBorders>
              <w:top w:val="nil"/>
              <w:bottom w:val="single" w:sz="4" w:space="0" w:color="auto"/>
            </w:tcBorders>
            <w:vAlign w:val="center"/>
          </w:tcPr>
          <w:p w14:paraId="764C8AB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0.69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center"/>
          </w:tcPr>
          <w:p w14:paraId="717308F7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&lt;0.01</w:t>
            </w:r>
          </w:p>
        </w:tc>
        <w:tc>
          <w:tcPr>
            <w:tcW w:w="454" w:type="pct"/>
            <w:tcBorders>
              <w:top w:val="nil"/>
              <w:bottom w:val="single" w:sz="4" w:space="0" w:color="auto"/>
            </w:tcBorders>
            <w:vAlign w:val="center"/>
          </w:tcPr>
          <w:p w14:paraId="652BCE42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0.07</w:t>
            </w:r>
          </w:p>
        </w:tc>
      </w:tr>
      <w:tr w:rsidR="007522FC" w:rsidRPr="00662287" w14:paraId="6FA4144D" w14:textId="77777777" w:rsidTr="00F435D2">
        <w:trPr>
          <w:trHeight w:val="427"/>
        </w:trPr>
        <w:tc>
          <w:tcPr>
            <w:tcW w:w="939" w:type="pct"/>
            <w:tcBorders>
              <w:top w:val="single" w:sz="4" w:space="0" w:color="auto"/>
            </w:tcBorders>
            <w:vAlign w:val="center"/>
          </w:tcPr>
          <w:p w14:paraId="4FE851B2" w14:textId="77479447" w:rsidR="007522FC" w:rsidRPr="009B18CF" w:rsidRDefault="00087842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C</w:t>
            </w:r>
            <w:r w:rsidR="00052E3E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hemical analysis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r w:rsidR="00052E3E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(</w:t>
            </w:r>
            <w:r w:rsidR="007522FC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%</w:t>
            </w:r>
            <w:r w:rsidR="00052E3E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)</w:t>
            </w:r>
          </w:p>
        </w:tc>
        <w:tc>
          <w:tcPr>
            <w:tcW w:w="345" w:type="pct"/>
            <w:tcBorders>
              <w:top w:val="single" w:sz="4" w:space="0" w:color="auto"/>
            </w:tcBorders>
            <w:vAlign w:val="center"/>
          </w:tcPr>
          <w:p w14:paraId="1E92E8D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</w:tcBorders>
            <w:vAlign w:val="center"/>
          </w:tcPr>
          <w:p w14:paraId="04FC3FE7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</w:tcBorders>
            <w:vAlign w:val="center"/>
          </w:tcPr>
          <w:p w14:paraId="5C2C3DA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vAlign w:val="center"/>
          </w:tcPr>
          <w:p w14:paraId="28474854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</w:tcPr>
          <w:p w14:paraId="51AE8B9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4" w:space="0" w:color="auto"/>
            </w:tcBorders>
            <w:vAlign w:val="center"/>
          </w:tcPr>
          <w:p w14:paraId="302F02B8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37" w:type="pct"/>
            <w:tcBorders>
              <w:top w:val="single" w:sz="4" w:space="0" w:color="auto"/>
            </w:tcBorders>
            <w:vAlign w:val="center"/>
          </w:tcPr>
          <w:p w14:paraId="168809E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vAlign w:val="center"/>
          </w:tcPr>
          <w:p w14:paraId="7BF10AE7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vAlign w:val="center"/>
          </w:tcPr>
          <w:p w14:paraId="693C4942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vAlign w:val="center"/>
          </w:tcPr>
          <w:p w14:paraId="48D3673B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center"/>
          </w:tcPr>
          <w:p w14:paraId="712C1EB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  <w:tc>
          <w:tcPr>
            <w:tcW w:w="454" w:type="pct"/>
            <w:tcBorders>
              <w:top w:val="single" w:sz="4" w:space="0" w:color="auto"/>
            </w:tcBorders>
            <w:vAlign w:val="center"/>
          </w:tcPr>
          <w:p w14:paraId="44A456D5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</w:p>
        </w:tc>
      </w:tr>
      <w:tr w:rsidR="007522FC" w:rsidRPr="00662287" w14:paraId="02D7F821" w14:textId="77777777" w:rsidTr="009B18CF">
        <w:trPr>
          <w:trHeight w:val="451"/>
        </w:trPr>
        <w:tc>
          <w:tcPr>
            <w:tcW w:w="939" w:type="pct"/>
            <w:vAlign w:val="center"/>
          </w:tcPr>
          <w:p w14:paraId="04ABAF89" w14:textId="49134E63" w:rsidR="007522FC" w:rsidRPr="009B18CF" w:rsidRDefault="007522FC" w:rsidP="00183B0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r w:rsidR="00B63699" w:rsidRPr="0066228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Dry matter</w:t>
            </w:r>
          </w:p>
        </w:tc>
        <w:tc>
          <w:tcPr>
            <w:tcW w:w="345" w:type="pct"/>
            <w:vAlign w:val="center"/>
          </w:tcPr>
          <w:p w14:paraId="4979BB10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26.13</w:t>
            </w:r>
          </w:p>
        </w:tc>
        <w:tc>
          <w:tcPr>
            <w:tcW w:w="345" w:type="pct"/>
            <w:vAlign w:val="center"/>
          </w:tcPr>
          <w:p w14:paraId="5E0A39A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25.81</w:t>
            </w:r>
          </w:p>
        </w:tc>
        <w:tc>
          <w:tcPr>
            <w:tcW w:w="345" w:type="pct"/>
            <w:vAlign w:val="center"/>
          </w:tcPr>
          <w:p w14:paraId="49531B54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28.42</w:t>
            </w:r>
          </w:p>
        </w:tc>
        <w:tc>
          <w:tcPr>
            <w:tcW w:w="362" w:type="pct"/>
            <w:vAlign w:val="center"/>
          </w:tcPr>
          <w:p w14:paraId="144C46ED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26.29</w:t>
            </w:r>
          </w:p>
        </w:tc>
        <w:tc>
          <w:tcPr>
            <w:tcW w:w="504" w:type="pct"/>
            <w:vAlign w:val="center"/>
          </w:tcPr>
          <w:p w14:paraId="4D49AAAB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26.19</w:t>
            </w:r>
          </w:p>
        </w:tc>
        <w:tc>
          <w:tcPr>
            <w:tcW w:w="335" w:type="pct"/>
            <w:vAlign w:val="center"/>
          </w:tcPr>
          <w:p w14:paraId="1E254148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0.98</w:t>
            </w:r>
          </w:p>
        </w:tc>
        <w:tc>
          <w:tcPr>
            <w:tcW w:w="237" w:type="pct"/>
            <w:vAlign w:val="center"/>
          </w:tcPr>
          <w:p w14:paraId="164634D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0.34</w:t>
            </w:r>
          </w:p>
        </w:tc>
        <w:tc>
          <w:tcPr>
            <w:tcW w:w="266" w:type="pct"/>
            <w:vAlign w:val="center"/>
          </w:tcPr>
          <w:p w14:paraId="1E669D43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0.03</w:t>
            </w:r>
          </w:p>
        </w:tc>
        <w:tc>
          <w:tcPr>
            <w:tcW w:w="266" w:type="pct"/>
            <w:vAlign w:val="center"/>
          </w:tcPr>
          <w:p w14:paraId="61ABD5CD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0.50</w:t>
            </w:r>
          </w:p>
        </w:tc>
        <w:tc>
          <w:tcPr>
            <w:tcW w:w="266" w:type="pct"/>
            <w:vAlign w:val="center"/>
          </w:tcPr>
          <w:p w14:paraId="1835F7B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0.93</w:t>
            </w:r>
          </w:p>
        </w:tc>
        <w:tc>
          <w:tcPr>
            <w:tcW w:w="336" w:type="pct"/>
            <w:vAlign w:val="center"/>
          </w:tcPr>
          <w:p w14:paraId="696DAE1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&lt;0.01</w:t>
            </w:r>
          </w:p>
        </w:tc>
        <w:tc>
          <w:tcPr>
            <w:tcW w:w="454" w:type="pct"/>
            <w:vAlign w:val="center"/>
          </w:tcPr>
          <w:p w14:paraId="2FBD0E3D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0.40</w:t>
            </w:r>
          </w:p>
        </w:tc>
      </w:tr>
      <w:tr w:rsidR="007522FC" w:rsidRPr="00662287" w14:paraId="63D404EA" w14:textId="77777777" w:rsidTr="009B18CF">
        <w:trPr>
          <w:trHeight w:val="427"/>
        </w:trPr>
        <w:tc>
          <w:tcPr>
            <w:tcW w:w="939" w:type="pct"/>
            <w:vAlign w:val="center"/>
          </w:tcPr>
          <w:p w14:paraId="3256C5C8" w14:textId="04B2FFAA" w:rsidR="007522FC" w:rsidRPr="009B18CF" w:rsidRDefault="007522FC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r w:rsidR="00B63699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Crude protein</w:t>
            </w:r>
          </w:p>
        </w:tc>
        <w:tc>
          <w:tcPr>
            <w:tcW w:w="345" w:type="pct"/>
            <w:vAlign w:val="center"/>
          </w:tcPr>
          <w:p w14:paraId="45EE618D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10.55</w:t>
            </w:r>
          </w:p>
        </w:tc>
        <w:tc>
          <w:tcPr>
            <w:tcW w:w="345" w:type="pct"/>
            <w:vAlign w:val="center"/>
          </w:tcPr>
          <w:p w14:paraId="65212B2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10.13</w:t>
            </w:r>
          </w:p>
        </w:tc>
        <w:tc>
          <w:tcPr>
            <w:tcW w:w="345" w:type="pct"/>
            <w:vAlign w:val="center"/>
          </w:tcPr>
          <w:p w14:paraId="448225B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9.77</w:t>
            </w:r>
          </w:p>
        </w:tc>
        <w:tc>
          <w:tcPr>
            <w:tcW w:w="362" w:type="pct"/>
            <w:vAlign w:val="center"/>
          </w:tcPr>
          <w:p w14:paraId="4FEE3C3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10.74</w:t>
            </w:r>
          </w:p>
        </w:tc>
        <w:tc>
          <w:tcPr>
            <w:tcW w:w="504" w:type="pct"/>
            <w:vAlign w:val="center"/>
          </w:tcPr>
          <w:p w14:paraId="0189F10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10.52</w:t>
            </w:r>
          </w:p>
        </w:tc>
        <w:tc>
          <w:tcPr>
            <w:tcW w:w="335" w:type="pct"/>
            <w:vAlign w:val="center"/>
          </w:tcPr>
          <w:p w14:paraId="23F0D04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0.54</w:t>
            </w:r>
          </w:p>
        </w:tc>
        <w:tc>
          <w:tcPr>
            <w:tcW w:w="237" w:type="pct"/>
            <w:vAlign w:val="center"/>
          </w:tcPr>
          <w:p w14:paraId="6873A7E9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0.34</w:t>
            </w:r>
          </w:p>
        </w:tc>
        <w:tc>
          <w:tcPr>
            <w:tcW w:w="266" w:type="pct"/>
            <w:vAlign w:val="center"/>
          </w:tcPr>
          <w:p w14:paraId="37FD72B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0.62</w:t>
            </w:r>
          </w:p>
        </w:tc>
        <w:tc>
          <w:tcPr>
            <w:tcW w:w="266" w:type="pct"/>
            <w:vAlign w:val="center"/>
          </w:tcPr>
          <w:p w14:paraId="1127C422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0.30</w:t>
            </w:r>
          </w:p>
        </w:tc>
        <w:tc>
          <w:tcPr>
            <w:tcW w:w="266" w:type="pct"/>
            <w:vAlign w:val="center"/>
          </w:tcPr>
          <w:p w14:paraId="3D9C0F6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0.76</w:t>
            </w:r>
          </w:p>
        </w:tc>
        <w:tc>
          <w:tcPr>
            <w:tcW w:w="336" w:type="pct"/>
            <w:vAlign w:val="center"/>
          </w:tcPr>
          <w:p w14:paraId="27081EC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&lt;0.01</w:t>
            </w:r>
          </w:p>
        </w:tc>
        <w:tc>
          <w:tcPr>
            <w:tcW w:w="454" w:type="pct"/>
            <w:vAlign w:val="center"/>
          </w:tcPr>
          <w:p w14:paraId="7D91F795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0.50</w:t>
            </w:r>
          </w:p>
        </w:tc>
      </w:tr>
      <w:tr w:rsidR="007522FC" w:rsidRPr="00662287" w14:paraId="3743A402" w14:textId="77777777" w:rsidTr="009B18CF">
        <w:trPr>
          <w:trHeight w:val="451"/>
        </w:trPr>
        <w:tc>
          <w:tcPr>
            <w:tcW w:w="939" w:type="pct"/>
            <w:vAlign w:val="center"/>
          </w:tcPr>
          <w:p w14:paraId="57CD7387" w14:textId="39D14695" w:rsidR="007522FC" w:rsidRPr="009B18CF" w:rsidRDefault="007522FC" w:rsidP="0066228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r w:rsidR="00B63699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Neutral detergent fiber</w:t>
            </w:r>
          </w:p>
        </w:tc>
        <w:tc>
          <w:tcPr>
            <w:tcW w:w="345" w:type="pct"/>
            <w:vAlign w:val="center"/>
          </w:tcPr>
          <w:p w14:paraId="7FD5D8C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67.36</w:t>
            </w:r>
          </w:p>
        </w:tc>
        <w:tc>
          <w:tcPr>
            <w:tcW w:w="345" w:type="pct"/>
            <w:vAlign w:val="center"/>
          </w:tcPr>
          <w:p w14:paraId="49EB6413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67.54</w:t>
            </w:r>
          </w:p>
        </w:tc>
        <w:tc>
          <w:tcPr>
            <w:tcW w:w="345" w:type="pct"/>
            <w:vAlign w:val="center"/>
          </w:tcPr>
          <w:p w14:paraId="666B15E0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67.56</w:t>
            </w:r>
          </w:p>
        </w:tc>
        <w:tc>
          <w:tcPr>
            <w:tcW w:w="362" w:type="pct"/>
            <w:vAlign w:val="center"/>
          </w:tcPr>
          <w:p w14:paraId="35331E93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67.59</w:t>
            </w:r>
          </w:p>
        </w:tc>
        <w:tc>
          <w:tcPr>
            <w:tcW w:w="504" w:type="pct"/>
            <w:vAlign w:val="center"/>
          </w:tcPr>
          <w:p w14:paraId="0528ABF9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67.08</w:t>
            </w:r>
          </w:p>
        </w:tc>
        <w:tc>
          <w:tcPr>
            <w:tcW w:w="335" w:type="pct"/>
            <w:vAlign w:val="center"/>
          </w:tcPr>
          <w:p w14:paraId="045A1646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0.62</w:t>
            </w:r>
          </w:p>
        </w:tc>
        <w:tc>
          <w:tcPr>
            <w:tcW w:w="237" w:type="pct"/>
            <w:vAlign w:val="center"/>
          </w:tcPr>
          <w:p w14:paraId="0F15325B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0.80</w:t>
            </w:r>
          </w:p>
        </w:tc>
        <w:tc>
          <w:tcPr>
            <w:tcW w:w="266" w:type="pct"/>
            <w:vAlign w:val="center"/>
          </w:tcPr>
          <w:p w14:paraId="3B398601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0.98</w:t>
            </w:r>
          </w:p>
        </w:tc>
        <w:tc>
          <w:tcPr>
            <w:tcW w:w="266" w:type="pct"/>
            <w:vAlign w:val="center"/>
          </w:tcPr>
          <w:p w14:paraId="28D6B001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0.79</w:t>
            </w:r>
          </w:p>
        </w:tc>
        <w:tc>
          <w:tcPr>
            <w:tcW w:w="266" w:type="pct"/>
            <w:vAlign w:val="center"/>
          </w:tcPr>
          <w:p w14:paraId="4F2ACF75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0.56</w:t>
            </w:r>
          </w:p>
        </w:tc>
        <w:tc>
          <w:tcPr>
            <w:tcW w:w="336" w:type="pct"/>
            <w:vAlign w:val="center"/>
          </w:tcPr>
          <w:p w14:paraId="3865A514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&lt;0.01</w:t>
            </w:r>
          </w:p>
        </w:tc>
        <w:tc>
          <w:tcPr>
            <w:tcW w:w="454" w:type="pct"/>
            <w:vAlign w:val="center"/>
          </w:tcPr>
          <w:p w14:paraId="2E7AC77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0.43</w:t>
            </w:r>
          </w:p>
        </w:tc>
      </w:tr>
      <w:tr w:rsidR="007522FC" w:rsidRPr="00662287" w14:paraId="31565BC6" w14:textId="77777777" w:rsidTr="009B18CF">
        <w:trPr>
          <w:trHeight w:val="427"/>
        </w:trPr>
        <w:tc>
          <w:tcPr>
            <w:tcW w:w="939" w:type="pct"/>
            <w:vAlign w:val="center"/>
          </w:tcPr>
          <w:p w14:paraId="38F7B0E7" w14:textId="4F0CF19F" w:rsidR="007522FC" w:rsidRPr="009B18CF" w:rsidRDefault="007522FC" w:rsidP="00183B0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r w:rsidR="00B63699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Acid detergent fiber</w:t>
            </w:r>
          </w:p>
        </w:tc>
        <w:tc>
          <w:tcPr>
            <w:tcW w:w="345" w:type="pct"/>
            <w:vAlign w:val="center"/>
          </w:tcPr>
          <w:p w14:paraId="114A4F09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32.65</w:t>
            </w:r>
          </w:p>
        </w:tc>
        <w:tc>
          <w:tcPr>
            <w:tcW w:w="345" w:type="pct"/>
            <w:vAlign w:val="center"/>
          </w:tcPr>
          <w:p w14:paraId="6AC6B9D3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32.69</w:t>
            </w:r>
          </w:p>
        </w:tc>
        <w:tc>
          <w:tcPr>
            <w:tcW w:w="345" w:type="pct"/>
            <w:vAlign w:val="center"/>
          </w:tcPr>
          <w:p w14:paraId="64D3BE46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33.24</w:t>
            </w:r>
          </w:p>
        </w:tc>
        <w:tc>
          <w:tcPr>
            <w:tcW w:w="362" w:type="pct"/>
            <w:vAlign w:val="center"/>
          </w:tcPr>
          <w:p w14:paraId="2A376F8E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33.12</w:t>
            </w:r>
          </w:p>
        </w:tc>
        <w:tc>
          <w:tcPr>
            <w:tcW w:w="504" w:type="pct"/>
            <w:vAlign w:val="center"/>
          </w:tcPr>
          <w:p w14:paraId="2BBF522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32.58</w:t>
            </w:r>
          </w:p>
        </w:tc>
        <w:tc>
          <w:tcPr>
            <w:tcW w:w="335" w:type="pct"/>
            <w:vAlign w:val="center"/>
          </w:tcPr>
          <w:p w14:paraId="65C0A65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0.50</w:t>
            </w:r>
          </w:p>
        </w:tc>
        <w:tc>
          <w:tcPr>
            <w:tcW w:w="237" w:type="pct"/>
            <w:vAlign w:val="center"/>
          </w:tcPr>
          <w:p w14:paraId="2ABB676D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0.62</w:t>
            </w:r>
          </w:p>
        </w:tc>
        <w:tc>
          <w:tcPr>
            <w:tcW w:w="266" w:type="pct"/>
            <w:vAlign w:val="center"/>
          </w:tcPr>
          <w:p w14:paraId="727B7D10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0.45</w:t>
            </w:r>
          </w:p>
        </w:tc>
        <w:tc>
          <w:tcPr>
            <w:tcW w:w="266" w:type="pct"/>
            <w:vAlign w:val="center"/>
          </w:tcPr>
          <w:p w14:paraId="0679BF0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0.98</w:t>
            </w:r>
          </w:p>
        </w:tc>
        <w:tc>
          <w:tcPr>
            <w:tcW w:w="266" w:type="pct"/>
            <w:vAlign w:val="center"/>
          </w:tcPr>
          <w:p w14:paraId="07A359D3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0.45</w:t>
            </w:r>
          </w:p>
        </w:tc>
        <w:tc>
          <w:tcPr>
            <w:tcW w:w="336" w:type="pct"/>
            <w:vAlign w:val="center"/>
          </w:tcPr>
          <w:p w14:paraId="20B9B00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&lt;0.01</w:t>
            </w:r>
          </w:p>
        </w:tc>
        <w:tc>
          <w:tcPr>
            <w:tcW w:w="454" w:type="pct"/>
            <w:vAlign w:val="center"/>
          </w:tcPr>
          <w:p w14:paraId="0EA37F46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0.19</w:t>
            </w:r>
          </w:p>
        </w:tc>
      </w:tr>
      <w:tr w:rsidR="007522FC" w:rsidRPr="00662287" w14:paraId="6C074D04" w14:textId="77777777" w:rsidTr="009B18CF">
        <w:trPr>
          <w:trHeight w:val="427"/>
        </w:trPr>
        <w:tc>
          <w:tcPr>
            <w:tcW w:w="939" w:type="pct"/>
            <w:tcBorders>
              <w:bottom w:val="single" w:sz="4" w:space="0" w:color="auto"/>
            </w:tcBorders>
            <w:vAlign w:val="center"/>
          </w:tcPr>
          <w:p w14:paraId="590B8F5F" w14:textId="3E9E2E63" w:rsidR="007522FC" w:rsidRPr="009B18CF" w:rsidRDefault="007522FC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 xml:space="preserve"> M</w:t>
            </w:r>
            <w:r w:rsidR="00B63699"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ineral matter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2B88248D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11.71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20EF046D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11.40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0C897CDA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11.56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14:paraId="118773F7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11.23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14788A1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11.23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14:paraId="6F57945C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0.28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14:paraId="0DE38A1B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0.39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center"/>
          </w:tcPr>
          <w:p w14:paraId="6D35EAD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0.59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center"/>
          </w:tcPr>
          <w:p w14:paraId="48806EA3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0.10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center"/>
          </w:tcPr>
          <w:p w14:paraId="02214659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0.99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519483B8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&lt;0.01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vAlign w:val="center"/>
          </w:tcPr>
          <w:p w14:paraId="498E1D4F" w14:textId="77777777" w:rsidR="007522FC" w:rsidRPr="009B18CF" w:rsidRDefault="007522FC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lang w:val="en-US"/>
              </w:rPr>
              <w:t>0.64</w:t>
            </w:r>
          </w:p>
        </w:tc>
      </w:tr>
    </w:tbl>
    <w:p w14:paraId="3A02D319" w14:textId="6106C2AE" w:rsidR="00B63699" w:rsidRDefault="008D6E46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(1)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control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N1800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+ 1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800 mg of </w:t>
      </w:r>
      <w:proofErr w:type="spellStart"/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+ 2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750 mg </w:t>
      </w:r>
      <w:proofErr w:type="spellStart"/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 of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rotein mineral supplement (22%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crude protein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 360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+ 360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mg of </w:t>
      </w:r>
      <w:proofErr w:type="spellStart"/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(2)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SEM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tandard error </w:t>
      </w:r>
      <w:r w:rsidR="0095473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mean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(3)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rthogonal con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trasts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vs N1800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N2750;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II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N1800 v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 N2750;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III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E53FAC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CON, 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1800</w:t>
      </w:r>
      <w:r w:rsidR="001827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 vs PROT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360; 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vs PROT 360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B63699" w:rsidRPr="009B18C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(4)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="00A878D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ive periods of 28 days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63699" w:rsidRPr="009B18C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(5)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Treatment and period interaction</w:t>
      </w:r>
      <w:r w:rsidR="00B636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0CA0E23D" w14:textId="5B677835" w:rsidR="00E53FAC" w:rsidRDefault="00E53FAC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61B4669" w14:textId="77777777" w:rsidR="0005156C" w:rsidRPr="00737F90" w:rsidRDefault="0005156C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0BF3CEA0" w14:textId="39C8C80B" w:rsidR="003035D1" w:rsidRPr="00737F90" w:rsidRDefault="003035D1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commentRangeStart w:id="2"/>
      <w:r w:rsidRPr="009B18CF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lang w:val="en-US"/>
        </w:rPr>
        <w:lastRenderedPageBreak/>
        <w:t>Table 3.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commentRangeEnd w:id="2"/>
      <w:r w:rsidR="00183B07">
        <w:rPr>
          <w:rStyle w:val="Refdecomentrio"/>
        </w:rPr>
        <w:commentReference w:id="2"/>
      </w:r>
      <w:r w:rsidR="00945AE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orage </w:t>
      </w:r>
      <w:r w:rsidR="00945AE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="00945AE6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uality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according to </w:t>
      </w:r>
      <w:r w:rsidR="00945AE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A878D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five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experimental periods</w:t>
      </w:r>
      <w:r w:rsidR="00A878D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28 days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tbl>
      <w:tblPr>
        <w:tblStyle w:val="TabelaSimples21"/>
        <w:tblW w:w="11430" w:type="dxa"/>
        <w:jc w:val="center"/>
        <w:tblLayout w:type="fixed"/>
        <w:tblLook w:val="0620" w:firstRow="1" w:lastRow="0" w:firstColumn="0" w:lastColumn="0" w:noHBand="1" w:noVBand="1"/>
      </w:tblPr>
      <w:tblGrid>
        <w:gridCol w:w="3420"/>
        <w:gridCol w:w="1080"/>
        <w:gridCol w:w="1350"/>
        <w:gridCol w:w="1080"/>
        <w:gridCol w:w="1350"/>
        <w:gridCol w:w="1260"/>
        <w:gridCol w:w="1890"/>
      </w:tblGrid>
      <w:tr w:rsidR="003035D1" w:rsidRPr="00662287" w14:paraId="4755CED6" w14:textId="77777777" w:rsidTr="003035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</w:tcBorders>
            <w:vAlign w:val="center"/>
          </w:tcPr>
          <w:p w14:paraId="3CDA783D" w14:textId="66AF2549" w:rsidR="003035D1" w:rsidRPr="00F430DD" w:rsidRDefault="003035D1" w:rsidP="006477AB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Item</w:t>
            </w:r>
          </w:p>
        </w:tc>
        <w:tc>
          <w:tcPr>
            <w:tcW w:w="6120" w:type="dxa"/>
            <w:gridSpan w:val="5"/>
            <w:tcBorders>
              <w:top w:val="single" w:sz="4" w:space="0" w:color="auto"/>
            </w:tcBorders>
            <w:vAlign w:val="center"/>
          </w:tcPr>
          <w:p w14:paraId="24438C1C" w14:textId="43E7FF43" w:rsidR="003035D1" w:rsidRPr="00F430DD" w:rsidRDefault="003035D1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2E0BE" w14:textId="543C51D3" w:rsidR="003035D1" w:rsidRPr="00F430DD" w:rsidRDefault="003035D1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SEM</w:t>
            </w:r>
            <w:r w:rsidR="0095473F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(1)</w:t>
            </w:r>
          </w:p>
        </w:tc>
      </w:tr>
      <w:tr w:rsidR="003035D1" w:rsidRPr="00662287" w14:paraId="42138B30" w14:textId="77777777" w:rsidTr="003035D1">
        <w:trPr>
          <w:trHeight w:val="269"/>
          <w:jc w:val="center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41ECB7FE" w14:textId="77777777" w:rsidR="003035D1" w:rsidRPr="00662287" w:rsidRDefault="003035D1" w:rsidP="006477AB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B535B" w14:textId="6CCACDC9" w:rsidR="003035D1" w:rsidRPr="00662287" w:rsidRDefault="003035D1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99DC" w14:textId="7E4FB927" w:rsidR="003035D1" w:rsidRPr="00662287" w:rsidRDefault="003035D1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0518E" w14:textId="081BBE95" w:rsidR="003035D1" w:rsidRPr="00662287" w:rsidRDefault="003035D1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59D1C" w14:textId="7586EFAC" w:rsidR="003035D1" w:rsidRPr="00662287" w:rsidRDefault="003035D1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923FE" w14:textId="5A795C6F" w:rsidR="003035D1" w:rsidRPr="00662287" w:rsidRDefault="003035D1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14:paraId="3D46CBE6" w14:textId="77777777" w:rsidR="003035D1" w:rsidRPr="00662287" w:rsidRDefault="003035D1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035D1" w:rsidRPr="00662287" w14:paraId="44502CA1" w14:textId="77777777" w:rsidTr="003035D1">
        <w:trPr>
          <w:trHeight w:val="527"/>
          <w:jc w:val="center"/>
        </w:trPr>
        <w:tc>
          <w:tcPr>
            <w:tcW w:w="3420" w:type="dxa"/>
            <w:tcBorders>
              <w:top w:val="single" w:sz="4" w:space="0" w:color="auto"/>
              <w:bottom w:val="nil"/>
            </w:tcBorders>
            <w:vAlign w:val="center"/>
          </w:tcPr>
          <w:p w14:paraId="02CF7826" w14:textId="683652CF" w:rsidR="003035D1" w:rsidRPr="00662287" w:rsidRDefault="003035D1" w:rsidP="006477AB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="0005156C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rude protein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6C40F6C2" w14:textId="3DB468DB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8.90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vAlign w:val="center"/>
          </w:tcPr>
          <w:p w14:paraId="13477016" w14:textId="5AE0D102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8.40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36A3ACEC" w14:textId="0768F651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13.80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vAlign w:val="center"/>
          </w:tcPr>
          <w:p w14:paraId="402DA4AA" w14:textId="1C5AA7A3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11.60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3212D9D0" w14:textId="070D7BD7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9.50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  <w:vAlign w:val="center"/>
          </w:tcPr>
          <w:p w14:paraId="183AC20D" w14:textId="07B83572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0.54</w:t>
            </w:r>
          </w:p>
        </w:tc>
      </w:tr>
      <w:tr w:rsidR="003035D1" w:rsidRPr="00662287" w14:paraId="32523516" w14:textId="77777777" w:rsidTr="003035D1">
        <w:trPr>
          <w:trHeight w:val="515"/>
          <w:jc w:val="center"/>
        </w:trPr>
        <w:tc>
          <w:tcPr>
            <w:tcW w:w="3420" w:type="dxa"/>
            <w:tcBorders>
              <w:top w:val="nil"/>
              <w:bottom w:val="nil"/>
            </w:tcBorders>
            <w:vAlign w:val="center"/>
          </w:tcPr>
          <w:p w14:paraId="52CCEB50" w14:textId="15C6D862" w:rsidR="003035D1" w:rsidRPr="009B18CF" w:rsidRDefault="003035D1" w:rsidP="006477AB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Ash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1A6C3933" w14:textId="6E5FB9E3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9.90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14:paraId="44DB2AE6" w14:textId="3A105591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10.80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27099D70" w14:textId="43C40F4C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11.90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14:paraId="36E98A09" w14:textId="2F08DA80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12.30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8614586" w14:textId="2523930B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9.50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14:paraId="06B4FFBF" w14:textId="7CC6CAAC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0.28</w:t>
            </w:r>
          </w:p>
        </w:tc>
      </w:tr>
      <w:tr w:rsidR="003035D1" w:rsidRPr="00662287" w14:paraId="1A30C88B" w14:textId="77777777" w:rsidTr="003035D1">
        <w:trPr>
          <w:trHeight w:val="527"/>
          <w:jc w:val="center"/>
        </w:trPr>
        <w:tc>
          <w:tcPr>
            <w:tcW w:w="3420" w:type="dxa"/>
            <w:tcBorders>
              <w:top w:val="nil"/>
            </w:tcBorders>
            <w:vAlign w:val="center"/>
          </w:tcPr>
          <w:p w14:paraId="16CB6077" w14:textId="0713C19E" w:rsidR="003035D1" w:rsidRPr="009B18CF" w:rsidRDefault="003035D1" w:rsidP="00183B0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="0005156C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eutral detergent fiber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1340760C" w14:textId="6E1026A2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69.40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14:paraId="2AFD6268" w14:textId="3474483C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68.80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55B50486" w14:textId="115158CB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65.90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14:paraId="1C7B733B" w14:textId="00A82E7B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65.50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14:paraId="47005D26" w14:textId="3B7D6A1F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67.60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40255EA" w14:textId="4F286EDF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0.80</w:t>
            </w:r>
          </w:p>
        </w:tc>
      </w:tr>
      <w:tr w:rsidR="003035D1" w:rsidRPr="00662287" w14:paraId="0B361DBB" w14:textId="77777777" w:rsidTr="003035D1">
        <w:trPr>
          <w:trHeight w:val="527"/>
          <w:jc w:val="center"/>
        </w:trPr>
        <w:tc>
          <w:tcPr>
            <w:tcW w:w="3420" w:type="dxa"/>
            <w:vAlign w:val="center"/>
          </w:tcPr>
          <w:p w14:paraId="5C8A3AE9" w14:textId="1BF78BE3" w:rsidR="003035D1" w:rsidRPr="009B18CF" w:rsidRDefault="003035D1" w:rsidP="006477AB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="0005156C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cid detergent fiber</w:t>
            </w:r>
          </w:p>
        </w:tc>
        <w:tc>
          <w:tcPr>
            <w:tcW w:w="1080" w:type="dxa"/>
            <w:vAlign w:val="center"/>
          </w:tcPr>
          <w:p w14:paraId="3E02E23F" w14:textId="15459657" w:rsidR="003035D1" w:rsidRPr="009B18CF" w:rsidRDefault="006477AB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32.51</w:t>
            </w:r>
          </w:p>
        </w:tc>
        <w:tc>
          <w:tcPr>
            <w:tcW w:w="1350" w:type="dxa"/>
            <w:vAlign w:val="center"/>
          </w:tcPr>
          <w:p w14:paraId="0FAE706B" w14:textId="64D046ED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32.53</w:t>
            </w:r>
          </w:p>
        </w:tc>
        <w:tc>
          <w:tcPr>
            <w:tcW w:w="1080" w:type="dxa"/>
            <w:vAlign w:val="center"/>
          </w:tcPr>
          <w:p w14:paraId="321B7112" w14:textId="2A5C6FA6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31.73</w:t>
            </w:r>
          </w:p>
        </w:tc>
        <w:tc>
          <w:tcPr>
            <w:tcW w:w="1350" w:type="dxa"/>
            <w:vAlign w:val="center"/>
          </w:tcPr>
          <w:p w14:paraId="61CD7BDB" w14:textId="431C8413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32.22</w:t>
            </w:r>
          </w:p>
        </w:tc>
        <w:tc>
          <w:tcPr>
            <w:tcW w:w="1260" w:type="dxa"/>
            <w:vAlign w:val="center"/>
          </w:tcPr>
          <w:p w14:paraId="231562DE" w14:textId="3ECBE46D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36.04</w:t>
            </w:r>
          </w:p>
        </w:tc>
        <w:tc>
          <w:tcPr>
            <w:tcW w:w="1890" w:type="dxa"/>
            <w:vAlign w:val="center"/>
          </w:tcPr>
          <w:p w14:paraId="067E9E1E" w14:textId="595F3D4E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0.50</w:t>
            </w:r>
          </w:p>
        </w:tc>
      </w:tr>
      <w:tr w:rsidR="003035D1" w:rsidRPr="00662287" w14:paraId="11762976" w14:textId="77777777" w:rsidTr="003035D1">
        <w:trPr>
          <w:trHeight w:val="527"/>
          <w:jc w:val="center"/>
        </w:trPr>
        <w:tc>
          <w:tcPr>
            <w:tcW w:w="3420" w:type="dxa"/>
            <w:vAlign w:val="center"/>
          </w:tcPr>
          <w:p w14:paraId="361F4A34" w14:textId="02BE53DE" w:rsidR="003035D1" w:rsidRPr="009B18CF" w:rsidRDefault="003035D1" w:rsidP="006477AB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="0005156C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ther extract</w:t>
            </w:r>
          </w:p>
        </w:tc>
        <w:tc>
          <w:tcPr>
            <w:tcW w:w="1080" w:type="dxa"/>
            <w:vAlign w:val="center"/>
          </w:tcPr>
          <w:p w14:paraId="696E7A5D" w14:textId="6775730D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1.37</w:t>
            </w:r>
          </w:p>
        </w:tc>
        <w:tc>
          <w:tcPr>
            <w:tcW w:w="1350" w:type="dxa"/>
            <w:vAlign w:val="center"/>
          </w:tcPr>
          <w:p w14:paraId="4E593AF2" w14:textId="7FCD29D6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1.39</w:t>
            </w:r>
          </w:p>
        </w:tc>
        <w:tc>
          <w:tcPr>
            <w:tcW w:w="1080" w:type="dxa"/>
            <w:vAlign w:val="center"/>
          </w:tcPr>
          <w:p w14:paraId="503724BD" w14:textId="089B627D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1.05</w:t>
            </w:r>
          </w:p>
        </w:tc>
        <w:tc>
          <w:tcPr>
            <w:tcW w:w="1350" w:type="dxa"/>
            <w:vAlign w:val="center"/>
          </w:tcPr>
          <w:p w14:paraId="6E8943CB" w14:textId="46CEFE19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1.34</w:t>
            </w:r>
          </w:p>
        </w:tc>
        <w:tc>
          <w:tcPr>
            <w:tcW w:w="1260" w:type="dxa"/>
            <w:vAlign w:val="center"/>
          </w:tcPr>
          <w:p w14:paraId="22FABA7C" w14:textId="603A7688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1.25</w:t>
            </w:r>
          </w:p>
        </w:tc>
        <w:tc>
          <w:tcPr>
            <w:tcW w:w="1890" w:type="dxa"/>
            <w:vAlign w:val="center"/>
          </w:tcPr>
          <w:p w14:paraId="07D0E4B7" w14:textId="271A402D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0.12</w:t>
            </w:r>
          </w:p>
        </w:tc>
      </w:tr>
      <w:tr w:rsidR="003035D1" w:rsidRPr="00662287" w14:paraId="55EFA73C" w14:textId="77777777" w:rsidTr="003035D1">
        <w:trPr>
          <w:trHeight w:val="218"/>
          <w:jc w:val="center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D2159D9" w14:textId="5AA41B4D" w:rsidR="003035D1" w:rsidRPr="009B18CF" w:rsidRDefault="003035D1" w:rsidP="006477AB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="0005156C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on-fibrous carbohydrates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380CCB3" w14:textId="5C65A819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10.43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F39B408" w14:textId="24D9070A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10.61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3BCA245" w14:textId="31B62C21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7.35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6AA2B93" w14:textId="26CB0BC1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9567F91" w14:textId="7B87C5BF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668BD5B" w14:textId="4FDEC571" w:rsidR="003035D1" w:rsidRPr="009B18CF" w:rsidRDefault="000815BA" w:rsidP="006477A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0.29</w:t>
            </w:r>
          </w:p>
        </w:tc>
      </w:tr>
    </w:tbl>
    <w:p w14:paraId="0B12B2B6" w14:textId="0C849B95" w:rsidR="003035D1" w:rsidRPr="00737F90" w:rsidRDefault="0095473F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9B18C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(1)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Standard error of the mean.</w:t>
      </w:r>
    </w:p>
    <w:p w14:paraId="22F93133" w14:textId="77777777" w:rsidR="003035D1" w:rsidRPr="00737F90" w:rsidRDefault="003035D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 w:type="page"/>
      </w:r>
    </w:p>
    <w:p w14:paraId="5AD8A1C4" w14:textId="77777777" w:rsidR="003035D1" w:rsidRPr="00737F90" w:rsidRDefault="003035D1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8CE8956" w14:textId="093DAC71" w:rsidR="004D676D" w:rsidRPr="00737F90" w:rsidRDefault="003035D1" w:rsidP="00504583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Table 4</w:t>
      </w:r>
      <w:r w:rsidR="002A4F49"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  <w:r w:rsidR="004D67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 intake</w:t>
      </w:r>
      <w:r w:rsidR="001A751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CF70B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gram per </w:t>
      </w:r>
      <w:r w:rsidR="001A751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="00CF70B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ay</w:t>
      </w:r>
      <w:r w:rsidR="00D305C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; means ± </w:t>
      </w:r>
      <w:r w:rsidR="0095473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standard error of the mean</w:t>
      </w:r>
      <w:r w:rsidR="001A751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4D67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according to </w:t>
      </w:r>
      <w:r w:rsidR="00B5596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4D67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treatments in each </w:t>
      </w:r>
      <w:r w:rsidR="00A878D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A878D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five 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experimental </w:t>
      </w:r>
      <w:r w:rsidR="004D67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period</w:t>
      </w:r>
      <w:r w:rsidR="00A878D8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 of 28 days</w:t>
      </w:r>
      <w:r w:rsidR="002A4F4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tbl>
      <w:tblPr>
        <w:tblStyle w:val="TabelaSimples21"/>
        <w:tblW w:w="14109" w:type="dxa"/>
        <w:jc w:val="center"/>
        <w:tblLayout w:type="fixed"/>
        <w:tblCellMar>
          <w:left w:w="29" w:type="dxa"/>
          <w:right w:w="29" w:type="dxa"/>
        </w:tblCellMar>
        <w:tblLook w:val="0620" w:firstRow="1" w:lastRow="0" w:firstColumn="0" w:lastColumn="0" w:noHBand="1" w:noVBand="1"/>
      </w:tblPr>
      <w:tblGrid>
        <w:gridCol w:w="1440"/>
        <w:gridCol w:w="1416"/>
        <w:gridCol w:w="1350"/>
        <w:gridCol w:w="1440"/>
        <w:gridCol w:w="1440"/>
        <w:gridCol w:w="1713"/>
        <w:gridCol w:w="810"/>
        <w:gridCol w:w="720"/>
        <w:gridCol w:w="810"/>
        <w:gridCol w:w="810"/>
        <w:gridCol w:w="900"/>
        <w:gridCol w:w="1260"/>
      </w:tblGrid>
      <w:tr w:rsidR="008921F9" w:rsidRPr="00662287" w14:paraId="30047184" w14:textId="77777777" w:rsidTr="00EC26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14:paraId="116A3571" w14:textId="1E0D1FA7" w:rsidR="008921F9" w:rsidRPr="00F430DD" w:rsidRDefault="001A751E" w:rsidP="0050458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</w:p>
        </w:tc>
        <w:tc>
          <w:tcPr>
            <w:tcW w:w="7359" w:type="dxa"/>
            <w:gridSpan w:val="5"/>
            <w:tcBorders>
              <w:top w:val="single" w:sz="4" w:space="0" w:color="auto"/>
            </w:tcBorders>
            <w:vAlign w:val="center"/>
          </w:tcPr>
          <w:p w14:paraId="3290F3DD" w14:textId="788410C6" w:rsidR="008921F9" w:rsidRPr="00F430DD" w:rsidRDefault="008921F9" w:rsidP="00183B07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Treatment</w:t>
            </w: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10909" w14:textId="7D84643A" w:rsidR="008921F9" w:rsidRPr="00F430DD" w:rsidRDefault="00CF70B1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</w:t>
            </w:r>
            <w:r w:rsidR="008921F9"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-value</w:t>
            </w:r>
            <w:r w:rsidR="00897B40"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(2</w:t>
            </w:r>
            <w:r w:rsidR="008921F9"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)</w:t>
            </w:r>
          </w:p>
        </w:tc>
      </w:tr>
      <w:tr w:rsidR="008921F9" w:rsidRPr="00662287" w14:paraId="45C27399" w14:textId="77777777" w:rsidTr="00EC2636">
        <w:trPr>
          <w:trHeight w:val="269"/>
          <w:jc w:val="center"/>
        </w:trPr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3583A73A" w14:textId="77777777" w:rsidR="008921F9" w:rsidRPr="00F430DD" w:rsidRDefault="008921F9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3207C" w14:textId="77777777" w:rsidR="008921F9" w:rsidRPr="00F430DD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1E24D" w14:textId="77777777" w:rsidR="008921F9" w:rsidRPr="00F430DD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N1800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39917" w14:textId="77777777" w:rsidR="008921F9" w:rsidRPr="00F430DD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N2750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4B73B" w14:textId="77777777" w:rsidR="008921F9" w:rsidRPr="00F430DD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PROT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65542" w14:textId="77777777" w:rsidR="008921F9" w:rsidRPr="00F430DD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PROT 360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0FFC5" w14:textId="77777777" w:rsidR="008921F9" w:rsidRPr="00F430DD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0FBA9" w14:textId="77777777" w:rsidR="008921F9" w:rsidRPr="00F430DD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43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6D17" w14:textId="77777777" w:rsidR="008921F9" w:rsidRPr="00662287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CFE5F" w14:textId="77777777" w:rsidR="008921F9" w:rsidRPr="00662287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75575" w14:textId="4CF4EA63" w:rsidR="008921F9" w:rsidRPr="00662287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  <w:r w:rsidR="00E478DB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(3)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64645" w14:textId="65B1E13A" w:rsidR="008921F9" w:rsidRPr="00662287" w:rsidRDefault="008921F9" w:rsidP="008D6E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Treat×Per</w:t>
            </w:r>
            <w:proofErr w:type="spellEnd"/>
            <w:r w:rsidR="00E478DB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(4)</w:t>
            </w:r>
          </w:p>
        </w:tc>
      </w:tr>
      <w:tr w:rsidR="008921F9" w:rsidRPr="00662287" w14:paraId="777E2B03" w14:textId="77777777" w:rsidTr="00EC2636">
        <w:trPr>
          <w:trHeight w:val="527"/>
          <w:jc w:val="center"/>
        </w:trPr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FD986B5" w14:textId="5C041245" w:rsidR="008921F9" w:rsidRPr="00662287" w:rsidRDefault="008921F9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67119B3A" w14:textId="4ADD4ACD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86.1±6.94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297CF93B" w14:textId="4E7E584B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60.0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±4.89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A721B42" w14:textId="19E38872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61.1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±3.89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68C901D" w14:textId="2B14261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469.8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±10.44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198179E9" w14:textId="68A35C46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448.5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±8.13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72500C9A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04006091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0.89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1D854E74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1E1F7F53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39645C0F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A2C7B2C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</w:tr>
      <w:tr w:rsidR="008921F9" w:rsidRPr="00662287" w14:paraId="19D6FB90" w14:textId="77777777" w:rsidTr="00EC2636">
        <w:trPr>
          <w:trHeight w:val="515"/>
          <w:jc w:val="center"/>
        </w:trPr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E44FEBC" w14:textId="5B05FF47" w:rsidR="008921F9" w:rsidRPr="009B18CF" w:rsidRDefault="008921F9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</w:t>
            </w:r>
            <w:r w:rsidR="00CF70B1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77ED5AD2" w14:textId="52CA474B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118.8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±7.62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67C21309" w14:textId="5A682A45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86.6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±8.72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B613E14" w14:textId="1E27CD34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89.4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±5.82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C9737C4" w14:textId="01382789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418.4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±1.72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50434460" w14:textId="69A97B17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395.8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±9.38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6B32948B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0E798DE9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0.76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6845EF65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DFDE808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70BB5BC9" w14:textId="5509C84B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EBD28E6" w14:textId="7B4E640F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8921F9" w:rsidRPr="00662287" w14:paraId="11EBD24A" w14:textId="77777777" w:rsidTr="00EC2636">
        <w:trPr>
          <w:trHeight w:val="527"/>
          <w:jc w:val="center"/>
        </w:trPr>
        <w:tc>
          <w:tcPr>
            <w:tcW w:w="1440" w:type="dxa"/>
            <w:vAlign w:val="center"/>
          </w:tcPr>
          <w:p w14:paraId="677D8E63" w14:textId="101F2A87" w:rsidR="008921F9" w:rsidRPr="009B18CF" w:rsidRDefault="008921F9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</w:t>
            </w:r>
            <w:r w:rsidR="00CF70B1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416" w:type="dxa"/>
            <w:vAlign w:val="center"/>
          </w:tcPr>
          <w:p w14:paraId="56CC6C51" w14:textId="38C640B4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128.5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±12.14</w:t>
            </w:r>
          </w:p>
        </w:tc>
        <w:tc>
          <w:tcPr>
            <w:tcW w:w="1350" w:type="dxa"/>
            <w:vAlign w:val="center"/>
          </w:tcPr>
          <w:p w14:paraId="7B643F08" w14:textId="128B32D3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76.6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±12.88</w:t>
            </w:r>
          </w:p>
        </w:tc>
        <w:tc>
          <w:tcPr>
            <w:tcW w:w="1440" w:type="dxa"/>
            <w:vAlign w:val="center"/>
          </w:tcPr>
          <w:p w14:paraId="4FD30D6B" w14:textId="30F31F7F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70.5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±6.26</w:t>
            </w:r>
          </w:p>
        </w:tc>
        <w:tc>
          <w:tcPr>
            <w:tcW w:w="1440" w:type="dxa"/>
            <w:vAlign w:val="center"/>
          </w:tcPr>
          <w:p w14:paraId="6EB690EB" w14:textId="3C6CA518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577.9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±2.31</w:t>
            </w:r>
          </w:p>
        </w:tc>
        <w:tc>
          <w:tcPr>
            <w:tcW w:w="1710" w:type="dxa"/>
            <w:vAlign w:val="center"/>
          </w:tcPr>
          <w:p w14:paraId="6CE27969" w14:textId="208594E3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511.1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±19.20</w:t>
            </w:r>
          </w:p>
        </w:tc>
        <w:tc>
          <w:tcPr>
            <w:tcW w:w="810" w:type="dxa"/>
            <w:vAlign w:val="center"/>
          </w:tcPr>
          <w:p w14:paraId="2D7F18C6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720" w:type="dxa"/>
            <w:vAlign w:val="center"/>
          </w:tcPr>
          <w:p w14:paraId="7FE636CC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0.71</w:t>
            </w:r>
          </w:p>
        </w:tc>
        <w:tc>
          <w:tcPr>
            <w:tcW w:w="810" w:type="dxa"/>
            <w:vAlign w:val="center"/>
          </w:tcPr>
          <w:p w14:paraId="3DD12C44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810" w:type="dxa"/>
            <w:vAlign w:val="center"/>
          </w:tcPr>
          <w:p w14:paraId="1C9C05CC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900" w:type="dxa"/>
            <w:vAlign w:val="center"/>
          </w:tcPr>
          <w:p w14:paraId="28971577" w14:textId="1AF93572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471F2C1B" w14:textId="526911C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8921F9" w:rsidRPr="00662287" w14:paraId="18F08D5B" w14:textId="77777777" w:rsidTr="00EC2636">
        <w:trPr>
          <w:trHeight w:val="527"/>
          <w:jc w:val="center"/>
        </w:trPr>
        <w:tc>
          <w:tcPr>
            <w:tcW w:w="1440" w:type="dxa"/>
            <w:vAlign w:val="center"/>
          </w:tcPr>
          <w:p w14:paraId="1EEF297E" w14:textId="16AF2775" w:rsidR="008921F9" w:rsidRPr="009B18CF" w:rsidRDefault="008921F9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</w:t>
            </w:r>
            <w:r w:rsidR="00CF70B1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416" w:type="dxa"/>
            <w:vAlign w:val="center"/>
          </w:tcPr>
          <w:p w14:paraId="58177A9F" w14:textId="7E3095F1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76.1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±9.47</w:t>
            </w:r>
          </w:p>
        </w:tc>
        <w:tc>
          <w:tcPr>
            <w:tcW w:w="1350" w:type="dxa"/>
            <w:vAlign w:val="center"/>
          </w:tcPr>
          <w:p w14:paraId="17C81A47" w14:textId="641BFC5B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51.3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±8.78</w:t>
            </w:r>
          </w:p>
        </w:tc>
        <w:tc>
          <w:tcPr>
            <w:tcW w:w="1440" w:type="dxa"/>
            <w:vAlign w:val="center"/>
          </w:tcPr>
          <w:p w14:paraId="72A4DA93" w14:textId="2EA1D306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46.2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±4.76</w:t>
            </w:r>
          </w:p>
        </w:tc>
        <w:tc>
          <w:tcPr>
            <w:tcW w:w="1440" w:type="dxa"/>
            <w:vAlign w:val="center"/>
          </w:tcPr>
          <w:p w14:paraId="39622FDD" w14:textId="7876C99F" w:rsidR="008921F9" w:rsidRPr="009B18CF" w:rsidRDefault="00EC2636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439.6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±5.45</w:t>
            </w:r>
          </w:p>
        </w:tc>
        <w:tc>
          <w:tcPr>
            <w:tcW w:w="1710" w:type="dxa"/>
            <w:vAlign w:val="center"/>
          </w:tcPr>
          <w:p w14:paraId="06D311DF" w14:textId="2A8DCFEF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438.3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±4.92</w:t>
            </w:r>
          </w:p>
        </w:tc>
        <w:tc>
          <w:tcPr>
            <w:tcW w:w="810" w:type="dxa"/>
            <w:vAlign w:val="center"/>
          </w:tcPr>
          <w:p w14:paraId="32602329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720" w:type="dxa"/>
            <w:vAlign w:val="center"/>
          </w:tcPr>
          <w:p w14:paraId="2D31A57A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0.58</w:t>
            </w:r>
          </w:p>
        </w:tc>
        <w:tc>
          <w:tcPr>
            <w:tcW w:w="810" w:type="dxa"/>
            <w:vAlign w:val="center"/>
          </w:tcPr>
          <w:p w14:paraId="64A5FB08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810" w:type="dxa"/>
            <w:vAlign w:val="center"/>
          </w:tcPr>
          <w:p w14:paraId="4E9C4735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0.90</w:t>
            </w:r>
          </w:p>
        </w:tc>
        <w:tc>
          <w:tcPr>
            <w:tcW w:w="900" w:type="dxa"/>
            <w:vAlign w:val="center"/>
          </w:tcPr>
          <w:p w14:paraId="5C64AC45" w14:textId="05827690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1D31C21D" w14:textId="13DCC658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8921F9" w:rsidRPr="00662287" w14:paraId="1FCFD289" w14:textId="77777777" w:rsidTr="00EC2636">
        <w:trPr>
          <w:trHeight w:val="527"/>
          <w:jc w:val="center"/>
        </w:trPr>
        <w:tc>
          <w:tcPr>
            <w:tcW w:w="1440" w:type="dxa"/>
            <w:vAlign w:val="center"/>
          </w:tcPr>
          <w:p w14:paraId="5F6BA616" w14:textId="58895FA3" w:rsidR="008921F9" w:rsidRPr="009B18CF" w:rsidRDefault="008921F9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</w:t>
            </w:r>
            <w:r w:rsidR="00CF70B1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416" w:type="dxa"/>
            <w:vAlign w:val="center"/>
          </w:tcPr>
          <w:p w14:paraId="3FCF8584" w14:textId="3F54D8AC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55.1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±6.62</w:t>
            </w:r>
          </w:p>
        </w:tc>
        <w:tc>
          <w:tcPr>
            <w:tcW w:w="1350" w:type="dxa"/>
            <w:vAlign w:val="center"/>
          </w:tcPr>
          <w:p w14:paraId="1741E588" w14:textId="3910D8A9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41.8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±2.74</w:t>
            </w:r>
          </w:p>
        </w:tc>
        <w:tc>
          <w:tcPr>
            <w:tcW w:w="1440" w:type="dxa"/>
            <w:vAlign w:val="center"/>
          </w:tcPr>
          <w:p w14:paraId="560F5E4F" w14:textId="08735F0D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50.9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±6.98</w:t>
            </w:r>
          </w:p>
        </w:tc>
        <w:tc>
          <w:tcPr>
            <w:tcW w:w="1440" w:type="dxa"/>
            <w:vAlign w:val="center"/>
          </w:tcPr>
          <w:p w14:paraId="26A1D69D" w14:textId="4BA6C801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459.9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±2.66</w:t>
            </w:r>
          </w:p>
        </w:tc>
        <w:tc>
          <w:tcPr>
            <w:tcW w:w="1710" w:type="dxa"/>
            <w:vAlign w:val="center"/>
          </w:tcPr>
          <w:p w14:paraId="29B31DAD" w14:textId="1A3DDD86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444.9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±8.38</w:t>
            </w:r>
          </w:p>
        </w:tc>
        <w:tc>
          <w:tcPr>
            <w:tcW w:w="810" w:type="dxa"/>
            <w:vAlign w:val="center"/>
          </w:tcPr>
          <w:p w14:paraId="55FC8C7F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0.26</w:t>
            </w:r>
          </w:p>
        </w:tc>
        <w:tc>
          <w:tcPr>
            <w:tcW w:w="720" w:type="dxa"/>
            <w:vAlign w:val="center"/>
          </w:tcPr>
          <w:p w14:paraId="54A6D2BB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0.31</w:t>
            </w:r>
          </w:p>
        </w:tc>
        <w:tc>
          <w:tcPr>
            <w:tcW w:w="810" w:type="dxa"/>
            <w:vAlign w:val="center"/>
          </w:tcPr>
          <w:p w14:paraId="1EEF2DAC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810" w:type="dxa"/>
            <w:vAlign w:val="center"/>
          </w:tcPr>
          <w:p w14:paraId="58B7DBE0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0.08</w:t>
            </w:r>
          </w:p>
        </w:tc>
        <w:tc>
          <w:tcPr>
            <w:tcW w:w="900" w:type="dxa"/>
            <w:vAlign w:val="center"/>
          </w:tcPr>
          <w:p w14:paraId="207B09A7" w14:textId="18EE72AE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2B2E0703" w14:textId="00D1F9D2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8921F9" w:rsidRPr="00662287" w14:paraId="204B99AB" w14:textId="77777777" w:rsidTr="00EC2636">
        <w:trPr>
          <w:trHeight w:val="218"/>
          <w:jc w:val="center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2CCA073" w14:textId="2926C988" w:rsidR="008921F9" w:rsidRPr="009B18CF" w:rsidRDefault="008921F9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</w:t>
            </w:r>
            <w:r w:rsidR="00CF70B1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14:paraId="7F34049C" w14:textId="018BAD7C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52.1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±6.62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9A1D4A8" w14:textId="04946C35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43.8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±6.13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067DE84" w14:textId="429B73BA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48.7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±4.37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BD02B3E" w14:textId="5FF91D55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453.1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±2.89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0C17D9B2" w14:textId="2CC62D52" w:rsidR="008921F9" w:rsidRPr="009B18CF" w:rsidRDefault="008921F9" w:rsidP="00CF54F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452.2</w:t>
            </w:r>
            <w:r w:rsidR="00EC2636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±2.99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5112DD4F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0.25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BC110D7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0.41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18AFEC96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30140039" w14:textId="77777777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A595A5C" w14:textId="68566CD2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0EC321F" w14:textId="1E20897F" w:rsidR="008921F9" w:rsidRPr="009B18CF" w:rsidRDefault="008921F9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</w:tbl>
    <w:p w14:paraId="4C31BC4B" w14:textId="5A2E0D4B" w:rsidR="008D6E46" w:rsidRPr="00737F90" w:rsidRDefault="008D6E46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(1)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control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N1800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+ 1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800 mg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+ 2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750 mg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 of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rotein mineral supplement (22%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crude protein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 360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+ 360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mg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(2)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rthogonal contrasts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vs N1800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N2750; II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N1800 vs N2750; III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CON, N1800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 vs PROT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360; 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="00C326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vs PROT 360</w:t>
      </w:r>
      <w:r w:rsidR="0095473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5473F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</w:t>
      </w:r>
      <w:r w:rsidR="0095473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3</w:t>
      </w:r>
      <w:r w:rsidR="0095473F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Period effect</w:t>
      </w:r>
      <w:r w:rsidR="0095473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5473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(4</w:t>
      </w:r>
      <w:r w:rsidR="0095473F"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Treatment and period interaction.</w:t>
      </w:r>
    </w:p>
    <w:p w14:paraId="68C5279E" w14:textId="2D01DE79" w:rsidR="008D6E46" w:rsidRPr="00737F90" w:rsidRDefault="008D6E46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4F4C379C" w14:textId="490F68A6" w:rsidR="007522FC" w:rsidRDefault="003035D1" w:rsidP="00504583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Table 5</w:t>
      </w:r>
      <w:r w:rsidR="002A4F49"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  <w:r w:rsidR="007E1E91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02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Average daily gain (</w:t>
      </w:r>
      <w:r w:rsidR="00D305C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means ± 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standard error of the mean</w:t>
      </w:r>
      <w:r w:rsidR="00102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 according to</w:t>
      </w:r>
      <w:r w:rsidR="00945AE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</w:t>
      </w:r>
      <w:r w:rsidR="00102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treatments </w:t>
      </w:r>
      <w:r w:rsidR="00BC44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BC44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102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experimental </w:t>
      </w:r>
      <w:r w:rsidR="001029BE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="00A317E5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iod</w:t>
      </w:r>
      <w:r w:rsidR="00BC44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 of 28 days</w:t>
      </w:r>
      <w:r w:rsidR="002A4F4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tbl>
      <w:tblPr>
        <w:tblStyle w:val="TabelaSimples21"/>
        <w:tblW w:w="0" w:type="auto"/>
        <w:jc w:val="center"/>
        <w:tblLayout w:type="fixed"/>
        <w:tblCellMar>
          <w:left w:w="29" w:type="dxa"/>
          <w:right w:w="29" w:type="dxa"/>
        </w:tblCellMar>
        <w:tblLook w:val="0680" w:firstRow="0" w:lastRow="0" w:firstColumn="1" w:lastColumn="0" w:noHBand="1" w:noVBand="1"/>
      </w:tblPr>
      <w:tblGrid>
        <w:gridCol w:w="1260"/>
        <w:gridCol w:w="1620"/>
        <w:gridCol w:w="1710"/>
        <w:gridCol w:w="1710"/>
        <w:gridCol w:w="1440"/>
        <w:gridCol w:w="1710"/>
        <w:gridCol w:w="630"/>
        <w:gridCol w:w="630"/>
        <w:gridCol w:w="720"/>
        <w:gridCol w:w="540"/>
        <w:gridCol w:w="750"/>
        <w:gridCol w:w="1238"/>
      </w:tblGrid>
      <w:tr w:rsidR="00276D17" w:rsidRPr="00254D24" w14:paraId="4668863F" w14:textId="77777777" w:rsidTr="0090585F">
        <w:trPr>
          <w:trHeight w:val="5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14:paraId="1BDC7716" w14:textId="77777777" w:rsidR="00276D17" w:rsidRPr="00276D17" w:rsidRDefault="00276D17" w:rsidP="0090585F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Periods</w:t>
            </w:r>
          </w:p>
        </w:tc>
        <w:tc>
          <w:tcPr>
            <w:tcW w:w="819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13F43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Treatments</w:t>
            </w: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450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4D6FD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P-value</w:t>
            </w: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(2)</w:t>
            </w:r>
          </w:p>
        </w:tc>
      </w:tr>
      <w:tr w:rsidR="00276D17" w:rsidRPr="00254D24" w14:paraId="2805ABA1" w14:textId="77777777" w:rsidTr="0090585F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Merge/>
            <w:tcBorders>
              <w:bottom w:val="single" w:sz="4" w:space="0" w:color="auto"/>
            </w:tcBorders>
            <w:vAlign w:val="center"/>
          </w:tcPr>
          <w:p w14:paraId="32F2ECAA" w14:textId="77777777" w:rsidR="00276D17" w:rsidRPr="00276D17" w:rsidRDefault="00276D17" w:rsidP="0090585F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DFE11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89085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N1800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CF696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N2750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C224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PROT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0BD44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PROT 360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9998B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43A0B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39BF4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29F1A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EA2E0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B63EF" w14:textId="2DB65CA6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Treat×Per</w:t>
            </w:r>
            <w:proofErr w:type="spellEnd"/>
          </w:p>
        </w:tc>
      </w:tr>
      <w:tr w:rsidR="00276D17" w:rsidRPr="00254D24" w14:paraId="21EFBC76" w14:textId="77777777" w:rsidTr="0090585F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6173A" w14:textId="77777777" w:rsidR="00276D17" w:rsidRPr="00276D17" w:rsidRDefault="00276D17" w:rsidP="0090585F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600D0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510.2±28.64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9DF09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519.1±27.72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E544D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532.2±27.73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50DE1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573.4±36.91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2269D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606.0±35.34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01F83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0.65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5D38F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1EF2A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0EC69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0.41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A3CEE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04690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0.01</w:t>
            </w:r>
          </w:p>
        </w:tc>
      </w:tr>
      <w:tr w:rsidR="00276D17" w:rsidRPr="00254D24" w14:paraId="6DB35E89" w14:textId="77777777" w:rsidTr="0090585F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single" w:sz="4" w:space="0" w:color="auto"/>
            </w:tcBorders>
            <w:vAlign w:val="center"/>
          </w:tcPr>
          <w:p w14:paraId="051DAC8C" w14:textId="7487465E" w:rsidR="00276D17" w:rsidRPr="00276D17" w:rsidRDefault="00276D17" w:rsidP="0090585F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Per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5E713ABE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498.7±79.22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38E77A98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698.2±70.23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2356DE74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703.3±66.15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6A0DBAF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799.0±47.52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7418B6B7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827.4±31.70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73268B21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28B46C8C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0.96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2CB4FE91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3696D3FF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0.75</w:t>
            </w:r>
          </w:p>
        </w:tc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14:paraId="534FB6E0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34279607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276D17" w:rsidRPr="00254D24" w14:paraId="5B2A01A1" w14:textId="77777777" w:rsidTr="0090585F">
        <w:trPr>
          <w:trHeight w:val="5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Align w:val="center"/>
          </w:tcPr>
          <w:p w14:paraId="153E9F5D" w14:textId="34631ECE" w:rsidR="00276D17" w:rsidRPr="00276D17" w:rsidRDefault="00276D17" w:rsidP="0090585F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Per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620" w:type="dxa"/>
            <w:vAlign w:val="center"/>
          </w:tcPr>
          <w:p w14:paraId="1E74745A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748.5±63.72</w:t>
            </w:r>
          </w:p>
        </w:tc>
        <w:tc>
          <w:tcPr>
            <w:tcW w:w="1710" w:type="dxa"/>
            <w:vAlign w:val="center"/>
          </w:tcPr>
          <w:p w14:paraId="74A051B2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611.5±97.98</w:t>
            </w:r>
          </w:p>
        </w:tc>
        <w:tc>
          <w:tcPr>
            <w:tcW w:w="1710" w:type="dxa"/>
            <w:vAlign w:val="center"/>
          </w:tcPr>
          <w:p w14:paraId="456B11ED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617.1±55.90</w:t>
            </w:r>
          </w:p>
        </w:tc>
        <w:tc>
          <w:tcPr>
            <w:tcW w:w="1440" w:type="dxa"/>
            <w:vAlign w:val="center"/>
          </w:tcPr>
          <w:p w14:paraId="379B791B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887.0±30.05</w:t>
            </w:r>
          </w:p>
        </w:tc>
        <w:tc>
          <w:tcPr>
            <w:tcW w:w="1710" w:type="dxa"/>
            <w:vAlign w:val="center"/>
          </w:tcPr>
          <w:p w14:paraId="6281C9A3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830.3±35.11</w:t>
            </w:r>
          </w:p>
        </w:tc>
        <w:tc>
          <w:tcPr>
            <w:tcW w:w="630" w:type="dxa"/>
            <w:vAlign w:val="center"/>
          </w:tcPr>
          <w:p w14:paraId="28216156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0.07</w:t>
            </w:r>
          </w:p>
        </w:tc>
        <w:tc>
          <w:tcPr>
            <w:tcW w:w="630" w:type="dxa"/>
            <w:vAlign w:val="center"/>
          </w:tcPr>
          <w:p w14:paraId="239FE208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0.94</w:t>
            </w:r>
          </w:p>
        </w:tc>
        <w:tc>
          <w:tcPr>
            <w:tcW w:w="720" w:type="dxa"/>
            <w:vAlign w:val="center"/>
          </w:tcPr>
          <w:p w14:paraId="47AF12D0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540" w:type="dxa"/>
            <w:vAlign w:val="center"/>
          </w:tcPr>
          <w:p w14:paraId="2271A176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0.48</w:t>
            </w:r>
          </w:p>
        </w:tc>
        <w:tc>
          <w:tcPr>
            <w:tcW w:w="750" w:type="dxa"/>
            <w:vAlign w:val="center"/>
          </w:tcPr>
          <w:p w14:paraId="7C4BF4EB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38" w:type="dxa"/>
            <w:vAlign w:val="center"/>
          </w:tcPr>
          <w:p w14:paraId="08FFDF66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276D17" w:rsidRPr="00254D24" w14:paraId="6499A9FF" w14:textId="77777777" w:rsidTr="0090585F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Align w:val="center"/>
          </w:tcPr>
          <w:p w14:paraId="758D5274" w14:textId="4DABD3D1" w:rsidR="00276D17" w:rsidRPr="00276D17" w:rsidRDefault="00276D17" w:rsidP="0090585F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Per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620" w:type="dxa"/>
            <w:vAlign w:val="center"/>
          </w:tcPr>
          <w:p w14:paraId="49A12B98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586.2±62.03</w:t>
            </w:r>
          </w:p>
        </w:tc>
        <w:tc>
          <w:tcPr>
            <w:tcW w:w="1710" w:type="dxa"/>
            <w:vAlign w:val="center"/>
          </w:tcPr>
          <w:p w14:paraId="47123F02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518.4±75.81</w:t>
            </w:r>
          </w:p>
        </w:tc>
        <w:tc>
          <w:tcPr>
            <w:tcW w:w="1710" w:type="dxa"/>
            <w:vAlign w:val="center"/>
          </w:tcPr>
          <w:p w14:paraId="220812EF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545.5±82.06</w:t>
            </w:r>
          </w:p>
        </w:tc>
        <w:tc>
          <w:tcPr>
            <w:tcW w:w="1440" w:type="dxa"/>
            <w:vAlign w:val="center"/>
          </w:tcPr>
          <w:p w14:paraId="2ACB212F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591.4±48.71</w:t>
            </w:r>
          </w:p>
        </w:tc>
        <w:tc>
          <w:tcPr>
            <w:tcW w:w="1710" w:type="dxa"/>
            <w:vAlign w:val="center"/>
          </w:tcPr>
          <w:p w14:paraId="4DC4D10E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651.2±43.80</w:t>
            </w:r>
          </w:p>
        </w:tc>
        <w:tc>
          <w:tcPr>
            <w:tcW w:w="630" w:type="dxa"/>
            <w:vAlign w:val="center"/>
          </w:tcPr>
          <w:p w14:paraId="1294DCC8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0.48</w:t>
            </w:r>
          </w:p>
        </w:tc>
        <w:tc>
          <w:tcPr>
            <w:tcW w:w="630" w:type="dxa"/>
            <w:vAlign w:val="center"/>
          </w:tcPr>
          <w:p w14:paraId="73E69E33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0.77</w:t>
            </w:r>
          </w:p>
        </w:tc>
        <w:tc>
          <w:tcPr>
            <w:tcW w:w="720" w:type="dxa"/>
            <w:vAlign w:val="center"/>
          </w:tcPr>
          <w:p w14:paraId="714FF78C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0.23</w:t>
            </w:r>
          </w:p>
        </w:tc>
        <w:tc>
          <w:tcPr>
            <w:tcW w:w="540" w:type="dxa"/>
            <w:vAlign w:val="center"/>
          </w:tcPr>
          <w:p w14:paraId="23D89ACA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0.51</w:t>
            </w:r>
          </w:p>
        </w:tc>
        <w:tc>
          <w:tcPr>
            <w:tcW w:w="750" w:type="dxa"/>
            <w:vAlign w:val="center"/>
          </w:tcPr>
          <w:p w14:paraId="47B704A2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38" w:type="dxa"/>
            <w:vAlign w:val="center"/>
          </w:tcPr>
          <w:p w14:paraId="53399F1B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276D17" w:rsidRPr="00254D24" w14:paraId="29B3EE97" w14:textId="77777777" w:rsidTr="0090585F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bottom w:val="nil"/>
            </w:tcBorders>
            <w:vAlign w:val="center"/>
          </w:tcPr>
          <w:p w14:paraId="761B77A5" w14:textId="1B32AE86" w:rsidR="00276D17" w:rsidRPr="00276D17" w:rsidRDefault="00276D17" w:rsidP="0090585F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Per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14:paraId="16C9F73F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430.2±50.94</w:t>
            </w: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14:paraId="5D1EDA91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414.1±30.75</w:t>
            </w: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14:paraId="03B3CCBD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427.3±77.50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23C21CE5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379.4±69.43</w:t>
            </w: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14:paraId="68DB3370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453.0±35.51</w:t>
            </w:r>
          </w:p>
        </w:tc>
        <w:tc>
          <w:tcPr>
            <w:tcW w:w="630" w:type="dxa"/>
            <w:tcBorders>
              <w:bottom w:val="nil"/>
            </w:tcBorders>
            <w:vAlign w:val="center"/>
          </w:tcPr>
          <w:p w14:paraId="3C513D02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0.89</w:t>
            </w:r>
          </w:p>
        </w:tc>
        <w:tc>
          <w:tcPr>
            <w:tcW w:w="630" w:type="dxa"/>
            <w:tcBorders>
              <w:bottom w:val="nil"/>
            </w:tcBorders>
            <w:vAlign w:val="center"/>
          </w:tcPr>
          <w:p w14:paraId="139E5018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0.87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3B735E71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0.89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14:paraId="53FAF7F5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0.36</w:t>
            </w:r>
          </w:p>
        </w:tc>
        <w:tc>
          <w:tcPr>
            <w:tcW w:w="750" w:type="dxa"/>
            <w:tcBorders>
              <w:bottom w:val="nil"/>
            </w:tcBorders>
            <w:vAlign w:val="center"/>
          </w:tcPr>
          <w:p w14:paraId="5E0742DA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38" w:type="dxa"/>
            <w:tcBorders>
              <w:bottom w:val="nil"/>
            </w:tcBorders>
            <w:vAlign w:val="center"/>
          </w:tcPr>
          <w:p w14:paraId="579C7EA9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276D17" w:rsidRPr="00254D24" w14:paraId="10264F80" w14:textId="77777777" w:rsidTr="0090585F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14:paraId="76D4DE7C" w14:textId="462BC1AA" w:rsidR="00276D17" w:rsidRPr="00276D17" w:rsidRDefault="00276D17" w:rsidP="0090585F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Per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iod</w:t>
            </w:r>
            <w:r w:rsidRPr="00276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14:paraId="5F682DC3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287.1±37.60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vAlign w:val="center"/>
          </w:tcPr>
          <w:p w14:paraId="3AB06F47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352.3±65.82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vAlign w:val="center"/>
          </w:tcPr>
          <w:p w14:paraId="1DA9BDAD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369.4±52.78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center"/>
          </w:tcPr>
          <w:p w14:paraId="13DE693F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209.9±71.51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vAlign w:val="center"/>
          </w:tcPr>
          <w:p w14:paraId="56784FBB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269.4±81.53</w:t>
            </w: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vAlign w:val="center"/>
          </w:tcPr>
          <w:p w14:paraId="60979B76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0.61</w:t>
            </w: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vAlign w:val="center"/>
          </w:tcPr>
          <w:p w14:paraId="3333F89A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0.88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6BD4F3A6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0.10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vAlign w:val="center"/>
          </w:tcPr>
          <w:p w14:paraId="639420FD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0.56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vAlign w:val="center"/>
          </w:tcPr>
          <w:p w14:paraId="44C26326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38" w:type="dxa"/>
            <w:tcBorders>
              <w:top w:val="nil"/>
              <w:bottom w:val="single" w:sz="4" w:space="0" w:color="auto"/>
            </w:tcBorders>
            <w:vAlign w:val="center"/>
          </w:tcPr>
          <w:p w14:paraId="70628F74" w14:textId="77777777" w:rsidR="00276D17" w:rsidRPr="00B20CC2" w:rsidRDefault="00276D17" w:rsidP="0090585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20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</w:tbl>
    <w:p w14:paraId="7B8442C9" w14:textId="197283F6" w:rsidR="008D6E46" w:rsidRPr="00737F90" w:rsidRDefault="008D6E46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(1)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control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N1800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+ 1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800 mg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+ 2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750 mg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 of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rotein mineral supplement (22%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crude protein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360</w:t>
      </w:r>
      <w:r w:rsidR="006312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+ 360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mg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(2)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rthogonal contrasts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vs N1800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N2750; II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N1800 vs N2750; III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CON, N1800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 vs PROT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360; 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="003215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vs PROT 360</w:t>
      </w:r>
      <w:r w:rsidR="006312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31252" w:rsidRPr="009B18C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(3)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Period</w:t>
      </w:r>
      <w:r w:rsidR="00E478D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effect</w:t>
      </w:r>
      <w:r w:rsidR="006312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63125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(4</w:t>
      </w:r>
      <w:r w:rsidR="00631252" w:rsidRPr="006E0E0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Treatment and period interaction.</w:t>
      </w:r>
    </w:p>
    <w:p w14:paraId="399FDA30" w14:textId="5D760DBF" w:rsidR="004D676D" w:rsidRDefault="004D676D" w:rsidP="0050458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4FA4C27" w14:textId="5788B675" w:rsidR="00F430DD" w:rsidRDefault="00F430DD" w:rsidP="0050458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2CC98D8" w14:textId="77777777" w:rsidR="00F430DD" w:rsidRPr="00737F90" w:rsidRDefault="00F430DD" w:rsidP="0050458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8741520" w14:textId="593D248B" w:rsidR="004D676D" w:rsidRPr="00737F90" w:rsidRDefault="003035D1" w:rsidP="00504583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Table 6</w:t>
      </w:r>
      <w:r w:rsidR="002A4F49" w:rsidRPr="00737F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  <w:r w:rsidR="004D67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Body weight (BW</w:t>
      </w:r>
      <w:r w:rsidR="00D305CA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; means ± 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standard error of the mean</w:t>
      </w:r>
      <w:r w:rsidR="004D67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per treatment in each </w:t>
      </w:r>
      <w:r w:rsidR="00BC44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BC44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0B72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experimental</w:t>
      </w:r>
      <w:r w:rsidR="00BC44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D676D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period</w:t>
      </w:r>
      <w:r w:rsidR="00BC4433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 of 28 days</w:t>
      </w:r>
      <w:r w:rsidR="002A4F49"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tbl>
      <w:tblPr>
        <w:tblStyle w:val="TabelaSimples31"/>
        <w:tblW w:w="4591" w:type="pct"/>
        <w:tblLook w:val="0600" w:firstRow="0" w:lastRow="0" w:firstColumn="0" w:lastColumn="0" w:noHBand="1" w:noVBand="1"/>
      </w:tblPr>
      <w:tblGrid>
        <w:gridCol w:w="1620"/>
        <w:gridCol w:w="1438"/>
        <w:gridCol w:w="2071"/>
        <w:gridCol w:w="1441"/>
        <w:gridCol w:w="1530"/>
        <w:gridCol w:w="1710"/>
        <w:gridCol w:w="720"/>
        <w:gridCol w:w="720"/>
        <w:gridCol w:w="810"/>
        <w:gridCol w:w="756"/>
      </w:tblGrid>
      <w:tr w:rsidR="00D305CA" w:rsidRPr="00662287" w14:paraId="6D2ABB5D" w14:textId="77777777" w:rsidTr="00D305CA">
        <w:trPr>
          <w:trHeight w:val="514"/>
        </w:trPr>
        <w:tc>
          <w:tcPr>
            <w:tcW w:w="63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15C723" w14:textId="62478909" w:rsidR="00D305CA" w:rsidRPr="009B18CF" w:rsidRDefault="00D305CA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</w:p>
        </w:tc>
        <w:tc>
          <w:tcPr>
            <w:tcW w:w="319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18568B9" w14:textId="19AFE0D5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Treatment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FC17D3" w14:textId="0B511A48" w:rsidR="00D305CA" w:rsidRPr="009B18CF" w:rsidRDefault="00077C00" w:rsidP="00D305C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</w:t>
            </w:r>
            <w:r w:rsidR="00D305CA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-value</w:t>
            </w:r>
            <w:r w:rsidR="00D305CA"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(2)</w:t>
            </w:r>
          </w:p>
        </w:tc>
      </w:tr>
      <w:tr w:rsidR="00D305CA" w:rsidRPr="00662287" w14:paraId="0C2559AD" w14:textId="77777777" w:rsidTr="00D305CA">
        <w:trPr>
          <w:trHeight w:val="311"/>
        </w:trPr>
        <w:tc>
          <w:tcPr>
            <w:tcW w:w="63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62C417" w14:textId="77777777" w:rsidR="00D305CA" w:rsidRPr="009B18CF" w:rsidRDefault="00D305CA" w:rsidP="0050458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097003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CON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1AEBC6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N1800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D3C5C0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N2750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5620C9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PROT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346C34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PROT 360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3076C7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495F0D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D03663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C34471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</w:p>
        </w:tc>
      </w:tr>
      <w:tr w:rsidR="00D305CA" w:rsidRPr="00662287" w14:paraId="541FD8D2" w14:textId="77777777" w:rsidTr="00D305CA">
        <w:trPr>
          <w:trHeight w:val="514"/>
        </w:trPr>
        <w:tc>
          <w:tcPr>
            <w:tcW w:w="632" w:type="pct"/>
            <w:vAlign w:val="center"/>
            <w:hideMark/>
          </w:tcPr>
          <w:p w14:paraId="0FEE0549" w14:textId="0978243F" w:rsidR="00D305CA" w:rsidRPr="009B18CF" w:rsidRDefault="00D305CA" w:rsidP="008D6E46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Initial BW</w:t>
            </w:r>
          </w:p>
        </w:tc>
        <w:tc>
          <w:tcPr>
            <w:tcW w:w="561" w:type="pct"/>
            <w:vAlign w:val="center"/>
            <w:hideMark/>
          </w:tcPr>
          <w:p w14:paraId="394D8747" w14:textId="65F5EDD6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219.6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±0.08</w:t>
            </w:r>
          </w:p>
        </w:tc>
        <w:tc>
          <w:tcPr>
            <w:tcW w:w="808" w:type="pct"/>
            <w:vAlign w:val="center"/>
            <w:hideMark/>
          </w:tcPr>
          <w:p w14:paraId="6E4B8CC0" w14:textId="19CD929E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219.7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±0.13</w:t>
            </w:r>
          </w:p>
        </w:tc>
        <w:tc>
          <w:tcPr>
            <w:tcW w:w="562" w:type="pct"/>
            <w:vAlign w:val="center"/>
            <w:hideMark/>
          </w:tcPr>
          <w:p w14:paraId="63639969" w14:textId="555DA7F3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219.7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±0.24</w:t>
            </w:r>
          </w:p>
        </w:tc>
        <w:tc>
          <w:tcPr>
            <w:tcW w:w="597" w:type="pct"/>
            <w:vAlign w:val="center"/>
            <w:hideMark/>
          </w:tcPr>
          <w:p w14:paraId="7F012E21" w14:textId="0ED9AF79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219.6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±0.20</w:t>
            </w:r>
          </w:p>
        </w:tc>
        <w:tc>
          <w:tcPr>
            <w:tcW w:w="667" w:type="pct"/>
            <w:vAlign w:val="center"/>
            <w:hideMark/>
          </w:tcPr>
          <w:p w14:paraId="6B5391C9" w14:textId="784E848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219.6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±0.19</w:t>
            </w:r>
          </w:p>
        </w:tc>
        <w:tc>
          <w:tcPr>
            <w:tcW w:w="281" w:type="pct"/>
            <w:vAlign w:val="center"/>
            <w:hideMark/>
          </w:tcPr>
          <w:p w14:paraId="03011B1E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0.88</w:t>
            </w:r>
          </w:p>
        </w:tc>
        <w:tc>
          <w:tcPr>
            <w:tcW w:w="281" w:type="pct"/>
            <w:vAlign w:val="center"/>
            <w:hideMark/>
          </w:tcPr>
          <w:p w14:paraId="5C79FFCD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1.00</w:t>
            </w:r>
          </w:p>
        </w:tc>
        <w:tc>
          <w:tcPr>
            <w:tcW w:w="316" w:type="pct"/>
            <w:vAlign w:val="center"/>
            <w:hideMark/>
          </w:tcPr>
          <w:p w14:paraId="4F5741EB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0.89</w:t>
            </w:r>
          </w:p>
        </w:tc>
        <w:tc>
          <w:tcPr>
            <w:tcW w:w="295" w:type="pct"/>
            <w:vAlign w:val="center"/>
            <w:hideMark/>
          </w:tcPr>
          <w:p w14:paraId="6188B1F4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1.00</w:t>
            </w:r>
          </w:p>
        </w:tc>
      </w:tr>
      <w:tr w:rsidR="00D305CA" w:rsidRPr="00662287" w14:paraId="69BD154C" w14:textId="77777777" w:rsidTr="00D305CA">
        <w:trPr>
          <w:trHeight w:val="514"/>
        </w:trPr>
        <w:tc>
          <w:tcPr>
            <w:tcW w:w="632" w:type="pct"/>
            <w:vAlign w:val="center"/>
          </w:tcPr>
          <w:p w14:paraId="33749ABB" w14:textId="051F3FC5" w:rsidR="00D305CA" w:rsidRPr="009B18CF" w:rsidRDefault="00D305CA" w:rsidP="008D6E46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Final BW</w:t>
            </w:r>
          </w:p>
        </w:tc>
        <w:tc>
          <w:tcPr>
            <w:tcW w:w="561" w:type="pct"/>
            <w:vAlign w:val="center"/>
          </w:tcPr>
          <w:p w14:paraId="1B60CCC1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08" w:type="pct"/>
            <w:vAlign w:val="center"/>
          </w:tcPr>
          <w:p w14:paraId="6B9BD344" w14:textId="400BC958" w:rsidR="00D305CA" w:rsidRPr="009B18CF" w:rsidRDefault="00D305CA" w:rsidP="00C22F4C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62" w:type="pct"/>
            <w:vAlign w:val="center"/>
          </w:tcPr>
          <w:p w14:paraId="5404B8A9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97" w:type="pct"/>
            <w:vAlign w:val="center"/>
          </w:tcPr>
          <w:p w14:paraId="542D0708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67" w:type="pct"/>
            <w:vAlign w:val="center"/>
          </w:tcPr>
          <w:p w14:paraId="5E739D5D" w14:textId="773F323D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Align w:val="center"/>
          </w:tcPr>
          <w:p w14:paraId="16C0BAA4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Align w:val="center"/>
          </w:tcPr>
          <w:p w14:paraId="7AC4E989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vAlign w:val="center"/>
          </w:tcPr>
          <w:p w14:paraId="6F40234E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95" w:type="pct"/>
            <w:vAlign w:val="center"/>
          </w:tcPr>
          <w:p w14:paraId="0A974EF7" w14:textId="77777777" w:rsidR="00D305CA" w:rsidRPr="009B18CF" w:rsidRDefault="00D305CA" w:rsidP="003A4A46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305CA" w:rsidRPr="00662287" w14:paraId="56F5F4F3" w14:textId="77777777" w:rsidTr="00D305CA">
        <w:trPr>
          <w:trHeight w:val="528"/>
        </w:trPr>
        <w:tc>
          <w:tcPr>
            <w:tcW w:w="632" w:type="pct"/>
            <w:vAlign w:val="center"/>
            <w:hideMark/>
          </w:tcPr>
          <w:p w14:paraId="64CDE1CE" w14:textId="4169F9E6" w:rsidR="00D305CA" w:rsidRPr="009B18CF" w:rsidRDefault="00D305CA" w:rsidP="001A751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="00077C00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561" w:type="pct"/>
            <w:vAlign w:val="center"/>
            <w:hideMark/>
          </w:tcPr>
          <w:p w14:paraId="495C7CCB" w14:textId="525693E9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233.6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±1.82</w:t>
            </w:r>
          </w:p>
        </w:tc>
        <w:tc>
          <w:tcPr>
            <w:tcW w:w="808" w:type="pct"/>
            <w:vAlign w:val="center"/>
            <w:hideMark/>
          </w:tcPr>
          <w:p w14:paraId="7C2C533B" w14:textId="51009AFC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239.2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±1.92</w:t>
            </w:r>
          </w:p>
        </w:tc>
        <w:tc>
          <w:tcPr>
            <w:tcW w:w="562" w:type="pct"/>
            <w:vAlign w:val="center"/>
            <w:hideMark/>
          </w:tcPr>
          <w:p w14:paraId="4B81F652" w14:textId="7161F5D9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239.3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±1.69</w:t>
            </w:r>
          </w:p>
        </w:tc>
        <w:tc>
          <w:tcPr>
            <w:tcW w:w="597" w:type="pct"/>
            <w:vAlign w:val="center"/>
            <w:hideMark/>
          </w:tcPr>
          <w:p w14:paraId="53D3733E" w14:textId="5F33F82F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242.0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±1.65</w:t>
            </w:r>
          </w:p>
        </w:tc>
        <w:tc>
          <w:tcPr>
            <w:tcW w:w="667" w:type="pct"/>
            <w:vAlign w:val="center"/>
            <w:hideMark/>
          </w:tcPr>
          <w:p w14:paraId="71F8E7FD" w14:textId="0E99E6FB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242.8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±0.79</w:t>
            </w:r>
          </w:p>
        </w:tc>
        <w:tc>
          <w:tcPr>
            <w:tcW w:w="281" w:type="pct"/>
            <w:vAlign w:val="center"/>
            <w:hideMark/>
          </w:tcPr>
          <w:p w14:paraId="210B64E4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0.01</w:t>
            </w:r>
          </w:p>
        </w:tc>
        <w:tc>
          <w:tcPr>
            <w:tcW w:w="281" w:type="pct"/>
            <w:vAlign w:val="center"/>
            <w:hideMark/>
          </w:tcPr>
          <w:p w14:paraId="4D2A433D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0.96</w:t>
            </w:r>
          </w:p>
        </w:tc>
        <w:tc>
          <w:tcPr>
            <w:tcW w:w="316" w:type="pct"/>
            <w:vAlign w:val="center"/>
            <w:hideMark/>
          </w:tcPr>
          <w:p w14:paraId="69624EC7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295" w:type="pct"/>
            <w:vAlign w:val="center"/>
            <w:hideMark/>
          </w:tcPr>
          <w:p w14:paraId="7B751D67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0.75</w:t>
            </w:r>
          </w:p>
        </w:tc>
      </w:tr>
      <w:tr w:rsidR="00D305CA" w:rsidRPr="00662287" w14:paraId="70C2EFEB" w14:textId="77777777" w:rsidTr="00D305CA">
        <w:trPr>
          <w:trHeight w:val="528"/>
        </w:trPr>
        <w:tc>
          <w:tcPr>
            <w:tcW w:w="632" w:type="pct"/>
            <w:vAlign w:val="center"/>
            <w:hideMark/>
          </w:tcPr>
          <w:p w14:paraId="34C2E3EC" w14:textId="19A4B9CF" w:rsidR="00D305CA" w:rsidRPr="009B18CF" w:rsidRDefault="00D305CA" w:rsidP="001A751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="00077C00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561" w:type="pct"/>
            <w:vAlign w:val="center"/>
            <w:hideMark/>
          </w:tcPr>
          <w:p w14:paraId="33AE9FD0" w14:textId="23FF2A6C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254.6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±1.91</w:t>
            </w:r>
          </w:p>
        </w:tc>
        <w:tc>
          <w:tcPr>
            <w:tcW w:w="808" w:type="pct"/>
            <w:vAlign w:val="center"/>
            <w:hideMark/>
          </w:tcPr>
          <w:p w14:paraId="4D35C88D" w14:textId="3C242DEA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256.3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±3.50</w:t>
            </w:r>
          </w:p>
        </w:tc>
        <w:tc>
          <w:tcPr>
            <w:tcW w:w="562" w:type="pct"/>
            <w:vAlign w:val="center"/>
            <w:hideMark/>
          </w:tcPr>
          <w:p w14:paraId="235BA8D5" w14:textId="19F181FF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256.6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±1.44</w:t>
            </w:r>
          </w:p>
        </w:tc>
        <w:tc>
          <w:tcPr>
            <w:tcW w:w="597" w:type="pct"/>
            <w:vAlign w:val="center"/>
            <w:hideMark/>
          </w:tcPr>
          <w:p w14:paraId="0E68C488" w14:textId="779CF8E2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266.8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±2.08</w:t>
            </w:r>
          </w:p>
        </w:tc>
        <w:tc>
          <w:tcPr>
            <w:tcW w:w="667" w:type="pct"/>
            <w:vAlign w:val="center"/>
            <w:hideMark/>
          </w:tcPr>
          <w:p w14:paraId="64483E04" w14:textId="42536393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266.0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±1.27</w:t>
            </w:r>
          </w:p>
        </w:tc>
        <w:tc>
          <w:tcPr>
            <w:tcW w:w="281" w:type="pct"/>
            <w:vAlign w:val="center"/>
            <w:hideMark/>
          </w:tcPr>
          <w:p w14:paraId="4520A62C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0.47</w:t>
            </w:r>
          </w:p>
        </w:tc>
        <w:tc>
          <w:tcPr>
            <w:tcW w:w="281" w:type="pct"/>
            <w:vAlign w:val="center"/>
            <w:hideMark/>
          </w:tcPr>
          <w:p w14:paraId="1093CA9E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0.92</w:t>
            </w:r>
          </w:p>
        </w:tc>
        <w:tc>
          <w:tcPr>
            <w:tcW w:w="316" w:type="pct"/>
            <w:vAlign w:val="center"/>
            <w:hideMark/>
          </w:tcPr>
          <w:p w14:paraId="10D0C0B4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295" w:type="pct"/>
            <w:vAlign w:val="center"/>
            <w:hideMark/>
          </w:tcPr>
          <w:p w14:paraId="337D80CC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0.78</w:t>
            </w:r>
          </w:p>
        </w:tc>
      </w:tr>
      <w:tr w:rsidR="00D305CA" w:rsidRPr="00662287" w14:paraId="7D4418E4" w14:textId="77777777" w:rsidTr="00D305CA">
        <w:trPr>
          <w:trHeight w:val="528"/>
        </w:trPr>
        <w:tc>
          <w:tcPr>
            <w:tcW w:w="632" w:type="pct"/>
            <w:vAlign w:val="center"/>
            <w:hideMark/>
          </w:tcPr>
          <w:p w14:paraId="017AF419" w14:textId="5F78F817" w:rsidR="00D305CA" w:rsidRPr="009B18CF" w:rsidRDefault="00D305CA" w:rsidP="001A751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="00077C00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561" w:type="pct"/>
            <w:vAlign w:val="center"/>
            <w:hideMark/>
          </w:tcPr>
          <w:p w14:paraId="64F321F2" w14:textId="2202D35D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270.4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±1.99</w:t>
            </w:r>
          </w:p>
        </w:tc>
        <w:tc>
          <w:tcPr>
            <w:tcW w:w="808" w:type="pct"/>
            <w:vAlign w:val="center"/>
            <w:hideMark/>
          </w:tcPr>
          <w:p w14:paraId="5E6A29F7" w14:textId="23FF63F2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270.3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±1.94</w:t>
            </w:r>
          </w:p>
        </w:tc>
        <w:tc>
          <w:tcPr>
            <w:tcW w:w="562" w:type="pct"/>
            <w:vAlign w:val="center"/>
            <w:hideMark/>
          </w:tcPr>
          <w:p w14:paraId="29D8C0FF" w14:textId="7183B1F3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271.3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±2.63</w:t>
            </w:r>
          </w:p>
        </w:tc>
        <w:tc>
          <w:tcPr>
            <w:tcW w:w="597" w:type="pct"/>
            <w:vAlign w:val="center"/>
            <w:hideMark/>
          </w:tcPr>
          <w:p w14:paraId="7B70CF6C" w14:textId="37864206" w:rsidR="00D305CA" w:rsidRPr="009B18CF" w:rsidRDefault="00D305CA" w:rsidP="00D305C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282.8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±1.59</w:t>
            </w:r>
          </w:p>
        </w:tc>
        <w:tc>
          <w:tcPr>
            <w:tcW w:w="667" w:type="pct"/>
            <w:vAlign w:val="center"/>
            <w:hideMark/>
          </w:tcPr>
          <w:p w14:paraId="31D26BCE" w14:textId="6F4E3C5F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283.6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±1.78</w:t>
            </w:r>
          </w:p>
        </w:tc>
        <w:tc>
          <w:tcPr>
            <w:tcW w:w="281" w:type="pct"/>
            <w:vAlign w:val="center"/>
            <w:hideMark/>
          </w:tcPr>
          <w:p w14:paraId="40A23B25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0.87</w:t>
            </w:r>
          </w:p>
        </w:tc>
        <w:tc>
          <w:tcPr>
            <w:tcW w:w="281" w:type="pct"/>
            <w:vAlign w:val="center"/>
            <w:hideMark/>
          </w:tcPr>
          <w:p w14:paraId="2AC3D149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0.73</w:t>
            </w:r>
          </w:p>
        </w:tc>
        <w:tc>
          <w:tcPr>
            <w:tcW w:w="316" w:type="pct"/>
            <w:vAlign w:val="center"/>
            <w:hideMark/>
          </w:tcPr>
          <w:p w14:paraId="3540A501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295" w:type="pct"/>
            <w:vAlign w:val="center"/>
            <w:hideMark/>
          </w:tcPr>
          <w:p w14:paraId="0C06D5C8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0.79</w:t>
            </w:r>
          </w:p>
        </w:tc>
      </w:tr>
      <w:tr w:rsidR="00D305CA" w:rsidRPr="00662287" w14:paraId="6A1FF235" w14:textId="77777777" w:rsidTr="00D305CA">
        <w:trPr>
          <w:trHeight w:val="514"/>
        </w:trPr>
        <w:tc>
          <w:tcPr>
            <w:tcW w:w="632" w:type="pct"/>
            <w:vAlign w:val="center"/>
            <w:hideMark/>
          </w:tcPr>
          <w:p w14:paraId="387BEEB8" w14:textId="3ED2658B" w:rsidR="00D305CA" w:rsidRPr="009B18CF" w:rsidRDefault="00D305CA" w:rsidP="001A751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="00077C00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561" w:type="pct"/>
            <w:vAlign w:val="center"/>
            <w:hideMark/>
          </w:tcPr>
          <w:p w14:paraId="0581E77B" w14:textId="02417514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281.7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±3.31</w:t>
            </w:r>
          </w:p>
        </w:tc>
        <w:tc>
          <w:tcPr>
            <w:tcW w:w="808" w:type="pct"/>
            <w:vAlign w:val="center"/>
            <w:hideMark/>
          </w:tcPr>
          <w:p w14:paraId="639A1CF8" w14:textId="289E8B3C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282.4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±1.98</w:t>
            </w:r>
          </w:p>
        </w:tc>
        <w:tc>
          <w:tcPr>
            <w:tcW w:w="562" w:type="pct"/>
            <w:vAlign w:val="center"/>
            <w:hideMark/>
          </w:tcPr>
          <w:p w14:paraId="2A563448" w14:textId="5197D0BF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283.7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±1.47</w:t>
            </w:r>
          </w:p>
        </w:tc>
        <w:tc>
          <w:tcPr>
            <w:tcW w:w="597" w:type="pct"/>
            <w:vAlign w:val="center"/>
            <w:hideMark/>
          </w:tcPr>
          <w:p w14:paraId="48206DFF" w14:textId="763DA379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293.7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±2.76</w:t>
            </w:r>
          </w:p>
        </w:tc>
        <w:tc>
          <w:tcPr>
            <w:tcW w:w="667" w:type="pct"/>
            <w:vAlign w:val="center"/>
            <w:hideMark/>
          </w:tcPr>
          <w:p w14:paraId="1F28A030" w14:textId="05F71094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296.7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±1.93</w:t>
            </w:r>
          </w:p>
        </w:tc>
        <w:tc>
          <w:tcPr>
            <w:tcW w:w="281" w:type="pct"/>
            <w:vAlign w:val="center"/>
            <w:hideMark/>
          </w:tcPr>
          <w:p w14:paraId="3BCB6539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0.63</w:t>
            </w:r>
          </w:p>
        </w:tc>
        <w:tc>
          <w:tcPr>
            <w:tcW w:w="281" w:type="pct"/>
            <w:vAlign w:val="center"/>
            <w:hideMark/>
          </w:tcPr>
          <w:p w14:paraId="04F701EB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0.69</w:t>
            </w:r>
          </w:p>
        </w:tc>
        <w:tc>
          <w:tcPr>
            <w:tcW w:w="316" w:type="pct"/>
            <w:vAlign w:val="center"/>
            <w:hideMark/>
          </w:tcPr>
          <w:p w14:paraId="13114F6B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295" w:type="pct"/>
            <w:vAlign w:val="center"/>
            <w:hideMark/>
          </w:tcPr>
          <w:p w14:paraId="1A207472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0.35</w:t>
            </w:r>
          </w:p>
        </w:tc>
      </w:tr>
      <w:tr w:rsidR="00D305CA" w:rsidRPr="00662287" w14:paraId="1FD0A476" w14:textId="77777777" w:rsidTr="00D305CA">
        <w:trPr>
          <w:trHeight w:val="528"/>
        </w:trPr>
        <w:tc>
          <w:tcPr>
            <w:tcW w:w="632" w:type="pct"/>
            <w:tcBorders>
              <w:bottom w:val="single" w:sz="4" w:space="0" w:color="auto"/>
            </w:tcBorders>
            <w:vAlign w:val="center"/>
            <w:hideMark/>
          </w:tcPr>
          <w:p w14:paraId="669BCF51" w14:textId="288E6183" w:rsidR="00D305CA" w:rsidRPr="009B18CF" w:rsidRDefault="00D305CA" w:rsidP="001A751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="00077C00"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Period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vAlign w:val="center"/>
            <w:hideMark/>
          </w:tcPr>
          <w:p w14:paraId="026D3E21" w14:textId="29C28B65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289.4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±4.22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center"/>
            <w:hideMark/>
          </w:tcPr>
          <w:p w14:paraId="33F53A73" w14:textId="3A03AE3C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292.0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±3.26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vAlign w:val="center"/>
            <w:hideMark/>
          </w:tcPr>
          <w:p w14:paraId="61D02C0A" w14:textId="46D67232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293.6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±2.27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  <w:hideMark/>
          </w:tcPr>
          <w:p w14:paraId="0A365972" w14:textId="768BA0B4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299.3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±4.21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  <w:hideMark/>
          </w:tcPr>
          <w:p w14:paraId="62122DC6" w14:textId="6E09C8DD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304.0</w:t>
            </w:r>
            <w:r w:rsidRPr="00662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±1.43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  <w:hideMark/>
          </w:tcPr>
          <w:p w14:paraId="498B09B6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0.37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  <w:hideMark/>
          </w:tcPr>
          <w:p w14:paraId="76005C1D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0.70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vAlign w:val="center"/>
            <w:hideMark/>
          </w:tcPr>
          <w:p w14:paraId="06DAABF1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&lt;0.01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vAlign w:val="center"/>
            <w:hideMark/>
          </w:tcPr>
          <w:p w14:paraId="0E02E324" w14:textId="77777777" w:rsidR="00D305CA" w:rsidRPr="009B18CF" w:rsidRDefault="00D305CA" w:rsidP="001A751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1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0.29</w:t>
            </w:r>
          </w:p>
        </w:tc>
      </w:tr>
    </w:tbl>
    <w:p w14:paraId="152BB7EB" w14:textId="16CFDF3D" w:rsidR="008D6E46" w:rsidRPr="00183B07" w:rsidRDefault="008D6E46" w:rsidP="008D6E46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37F9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(1)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mineral control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N1800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+ 1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800 mg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+ 2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750 mg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 of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supplement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rotein mineral supplement (22% 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crude protein);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="00461F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 360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+ 360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mg of </w:t>
      </w:r>
      <w:proofErr w:type="spellStart"/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narasin</w:t>
      </w:r>
      <w:proofErr w:type="spellEnd"/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 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ilo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supplement</w:t>
      </w:r>
      <w:r w:rsidR="00077C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737F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(2)</w:t>
      </w:r>
      <w:r w:rsidR="00BC4433"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Orthogonal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contrasts</w:t>
      </w:r>
      <w:r w:rsidR="00077C00"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</w:t>
      </w:r>
      <w:r w:rsidR="00461FB6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 vs N1800 </w:t>
      </w:r>
      <w:r w:rsidR="00461FB6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N2750; II</w:t>
      </w:r>
      <w:r w:rsidR="00461FB6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N1800 vs N2750; III</w:t>
      </w:r>
      <w:r w:rsidR="00461FB6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CON, N1800</w:t>
      </w:r>
      <w:r w:rsidR="000B72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461FB6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N2750 vs PROT </w:t>
      </w:r>
      <w:r w:rsidR="00461FB6" w:rsidRPr="009B18C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360; </w:t>
      </w:r>
      <w:r w:rsidR="00461F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="00461F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Pr="00183B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 vs PROT 360.</w:t>
      </w:r>
    </w:p>
    <w:p w14:paraId="4947C159" w14:textId="77777777" w:rsidR="0056740A" w:rsidRPr="00183B07" w:rsidRDefault="0056740A" w:rsidP="00504583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sectPr w:rsidR="0056740A" w:rsidRPr="00183B07" w:rsidSect="002A4F49"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icla Souza - mat: 353660 - SPD" w:date="2020-03-17T14:28:00Z" w:initials="MS-m3-S">
    <w:p w14:paraId="07CF2411" w14:textId="573CC6D7" w:rsidR="00F435D2" w:rsidRDefault="00F435D2">
      <w:pPr>
        <w:pStyle w:val="Textodecomentrio"/>
      </w:pPr>
      <w:r>
        <w:rPr>
          <w:rStyle w:val="Refdecomentrio"/>
        </w:rPr>
        <w:annotationRef/>
      </w:r>
      <w:r>
        <w:rPr>
          <w:noProof/>
        </w:rPr>
        <w:t>Ao coeditor: na LF, favor solicitar e inserir Orcids dos autores que faltam.</w:t>
      </w:r>
    </w:p>
  </w:comment>
  <w:comment w:id="2" w:author="Micla Souza - mat: 353660 - SPD" w:date="2020-03-17T14:30:00Z" w:initials="MS-m3-S">
    <w:p w14:paraId="3D8D183E" w14:textId="7B252DCF" w:rsidR="00F435D2" w:rsidRDefault="00F435D2">
      <w:pPr>
        <w:pStyle w:val="Textodecomentrio"/>
      </w:pPr>
      <w:r>
        <w:rPr>
          <w:rStyle w:val="Refdecomentrio"/>
        </w:rPr>
        <w:annotationRef/>
      </w:r>
      <w:r>
        <w:rPr>
          <w:noProof/>
        </w:rPr>
        <w:t>Ao coeditor: não há chamada para essa tabela no artigo; favor confirmar com o autor e inserir no local adequado. Por enquanto, coloquei no primeiro parágrafo de “Results and Discussion”.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CF2411" w15:done="0"/>
  <w15:commentEx w15:paraId="3D8D183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CF2411" w16cid:durableId="22226B59"/>
  <w16cid:commentId w16cid:paraId="3D8D183E" w16cid:durableId="22226B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DA56E" w14:textId="77777777" w:rsidR="00EE6861" w:rsidRDefault="00EE6861" w:rsidP="00E04087">
      <w:pPr>
        <w:spacing w:after="0" w:line="240" w:lineRule="auto"/>
      </w:pPr>
      <w:r>
        <w:separator/>
      </w:r>
    </w:p>
  </w:endnote>
  <w:endnote w:type="continuationSeparator" w:id="0">
    <w:p w14:paraId="018ECCC5" w14:textId="77777777" w:rsidR="00EE6861" w:rsidRDefault="00EE6861" w:rsidP="00E0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01774" w14:textId="77777777" w:rsidR="00EE6861" w:rsidRDefault="00EE6861" w:rsidP="00E04087">
      <w:pPr>
        <w:spacing w:after="0" w:line="240" w:lineRule="auto"/>
      </w:pPr>
      <w:r>
        <w:separator/>
      </w:r>
    </w:p>
  </w:footnote>
  <w:footnote w:type="continuationSeparator" w:id="0">
    <w:p w14:paraId="1BCBD4E4" w14:textId="77777777" w:rsidR="00EE6861" w:rsidRDefault="00EE6861" w:rsidP="00E04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751608"/>
      <w:docPartObj>
        <w:docPartGallery w:val="Page Numbers (Top of Page)"/>
        <w:docPartUnique/>
      </w:docPartObj>
    </w:sdtPr>
    <w:sdtContent>
      <w:p w14:paraId="6135B9BD" w14:textId="3EC5023B" w:rsidR="00F435D2" w:rsidRDefault="00F435D2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652361B9" w14:textId="77777777" w:rsidR="00F435D2" w:rsidRDefault="00F435D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43314"/>
    <w:multiLevelType w:val="multilevel"/>
    <w:tmpl w:val="753A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F108E7"/>
    <w:multiLevelType w:val="hybridMultilevel"/>
    <w:tmpl w:val="B3B6E986"/>
    <w:lvl w:ilvl="0" w:tplc="B9FA1B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la Souza - mat: 353660 - SPD">
    <w15:presenceInfo w15:providerId="AD" w15:userId="S-1-5-21-593090048-1615028623-2486454644-88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F3"/>
    <w:rsid w:val="00000233"/>
    <w:rsid w:val="00000539"/>
    <w:rsid w:val="000014BF"/>
    <w:rsid w:val="00001D67"/>
    <w:rsid w:val="000022D3"/>
    <w:rsid w:val="0000251F"/>
    <w:rsid w:val="00003ED9"/>
    <w:rsid w:val="00005899"/>
    <w:rsid w:val="00005B71"/>
    <w:rsid w:val="00006110"/>
    <w:rsid w:val="0000773B"/>
    <w:rsid w:val="000079B2"/>
    <w:rsid w:val="00010BC2"/>
    <w:rsid w:val="00014512"/>
    <w:rsid w:val="0001698F"/>
    <w:rsid w:val="000205D2"/>
    <w:rsid w:val="000246DD"/>
    <w:rsid w:val="00024881"/>
    <w:rsid w:val="00025A8D"/>
    <w:rsid w:val="000265F6"/>
    <w:rsid w:val="00027326"/>
    <w:rsid w:val="00031893"/>
    <w:rsid w:val="00033FFD"/>
    <w:rsid w:val="0003411C"/>
    <w:rsid w:val="00034CDC"/>
    <w:rsid w:val="00035036"/>
    <w:rsid w:val="00035231"/>
    <w:rsid w:val="0003565C"/>
    <w:rsid w:val="00036D00"/>
    <w:rsid w:val="00037FD7"/>
    <w:rsid w:val="0004414A"/>
    <w:rsid w:val="0004644B"/>
    <w:rsid w:val="000472A8"/>
    <w:rsid w:val="000473F6"/>
    <w:rsid w:val="00050B24"/>
    <w:rsid w:val="0005156C"/>
    <w:rsid w:val="000523C6"/>
    <w:rsid w:val="00052E3E"/>
    <w:rsid w:val="0005333F"/>
    <w:rsid w:val="000569D8"/>
    <w:rsid w:val="00061753"/>
    <w:rsid w:val="00063AEF"/>
    <w:rsid w:val="00064355"/>
    <w:rsid w:val="00064C49"/>
    <w:rsid w:val="00066376"/>
    <w:rsid w:val="00072B9F"/>
    <w:rsid w:val="00074A5D"/>
    <w:rsid w:val="00076A1A"/>
    <w:rsid w:val="00077C00"/>
    <w:rsid w:val="00080318"/>
    <w:rsid w:val="00081381"/>
    <w:rsid w:val="000815BA"/>
    <w:rsid w:val="0008394B"/>
    <w:rsid w:val="00083EDD"/>
    <w:rsid w:val="00085A89"/>
    <w:rsid w:val="00087842"/>
    <w:rsid w:val="000901A5"/>
    <w:rsid w:val="00090DFE"/>
    <w:rsid w:val="00092460"/>
    <w:rsid w:val="00093748"/>
    <w:rsid w:val="00095A9B"/>
    <w:rsid w:val="00097404"/>
    <w:rsid w:val="000A79E6"/>
    <w:rsid w:val="000A7FA9"/>
    <w:rsid w:val="000B13BA"/>
    <w:rsid w:val="000B31A1"/>
    <w:rsid w:val="000B57CA"/>
    <w:rsid w:val="000B728A"/>
    <w:rsid w:val="000C0FF3"/>
    <w:rsid w:val="000C2234"/>
    <w:rsid w:val="000C2466"/>
    <w:rsid w:val="000C4CAC"/>
    <w:rsid w:val="000C6C69"/>
    <w:rsid w:val="000C794A"/>
    <w:rsid w:val="000D0AF3"/>
    <w:rsid w:val="000D1DD1"/>
    <w:rsid w:val="000D2D7A"/>
    <w:rsid w:val="000D320B"/>
    <w:rsid w:val="000D555B"/>
    <w:rsid w:val="000D609C"/>
    <w:rsid w:val="000E1C79"/>
    <w:rsid w:val="000E24C8"/>
    <w:rsid w:val="000E2FB6"/>
    <w:rsid w:val="000E5AC7"/>
    <w:rsid w:val="000E667B"/>
    <w:rsid w:val="000E75AE"/>
    <w:rsid w:val="000E7901"/>
    <w:rsid w:val="000F004F"/>
    <w:rsid w:val="000F0FB1"/>
    <w:rsid w:val="000F3F65"/>
    <w:rsid w:val="000F59D4"/>
    <w:rsid w:val="000F629B"/>
    <w:rsid w:val="000F7457"/>
    <w:rsid w:val="000F7941"/>
    <w:rsid w:val="00100468"/>
    <w:rsid w:val="001029BE"/>
    <w:rsid w:val="00102C8B"/>
    <w:rsid w:val="0010357C"/>
    <w:rsid w:val="00105234"/>
    <w:rsid w:val="001060DC"/>
    <w:rsid w:val="00107C80"/>
    <w:rsid w:val="00110387"/>
    <w:rsid w:val="00110673"/>
    <w:rsid w:val="001119DE"/>
    <w:rsid w:val="001120C5"/>
    <w:rsid w:val="0011403D"/>
    <w:rsid w:val="00116D7F"/>
    <w:rsid w:val="0013295B"/>
    <w:rsid w:val="00136251"/>
    <w:rsid w:val="00140B4F"/>
    <w:rsid w:val="00140F64"/>
    <w:rsid w:val="00141ECC"/>
    <w:rsid w:val="0014411C"/>
    <w:rsid w:val="00151BB5"/>
    <w:rsid w:val="001520C6"/>
    <w:rsid w:val="0016234A"/>
    <w:rsid w:val="0016650B"/>
    <w:rsid w:val="00166CBB"/>
    <w:rsid w:val="001676DD"/>
    <w:rsid w:val="00171F23"/>
    <w:rsid w:val="001730AF"/>
    <w:rsid w:val="00173E40"/>
    <w:rsid w:val="00182646"/>
    <w:rsid w:val="00182746"/>
    <w:rsid w:val="00182A3C"/>
    <w:rsid w:val="00183B07"/>
    <w:rsid w:val="00184276"/>
    <w:rsid w:val="00185709"/>
    <w:rsid w:val="001875D0"/>
    <w:rsid w:val="00192C46"/>
    <w:rsid w:val="00194D12"/>
    <w:rsid w:val="001972DB"/>
    <w:rsid w:val="001A093F"/>
    <w:rsid w:val="001A1D86"/>
    <w:rsid w:val="001A4359"/>
    <w:rsid w:val="001A66A1"/>
    <w:rsid w:val="001A6F11"/>
    <w:rsid w:val="001A751E"/>
    <w:rsid w:val="001B1E21"/>
    <w:rsid w:val="001B2A38"/>
    <w:rsid w:val="001B48B2"/>
    <w:rsid w:val="001C1448"/>
    <w:rsid w:val="001C2C29"/>
    <w:rsid w:val="001C375A"/>
    <w:rsid w:val="001D438A"/>
    <w:rsid w:val="001D4D24"/>
    <w:rsid w:val="001E25C6"/>
    <w:rsid w:val="001E56CB"/>
    <w:rsid w:val="001E5D84"/>
    <w:rsid w:val="001E72BE"/>
    <w:rsid w:val="001F20DF"/>
    <w:rsid w:val="001F3F92"/>
    <w:rsid w:val="00201454"/>
    <w:rsid w:val="00201BD8"/>
    <w:rsid w:val="00201EFD"/>
    <w:rsid w:val="00202F5C"/>
    <w:rsid w:val="002033D5"/>
    <w:rsid w:val="00203BE3"/>
    <w:rsid w:val="00203FEF"/>
    <w:rsid w:val="00204ACA"/>
    <w:rsid w:val="00211AC6"/>
    <w:rsid w:val="00211C39"/>
    <w:rsid w:val="00214256"/>
    <w:rsid w:val="0021453C"/>
    <w:rsid w:val="002161C7"/>
    <w:rsid w:val="00216329"/>
    <w:rsid w:val="00216851"/>
    <w:rsid w:val="002201AD"/>
    <w:rsid w:val="002213F0"/>
    <w:rsid w:val="002226B7"/>
    <w:rsid w:val="0023094C"/>
    <w:rsid w:val="0023274F"/>
    <w:rsid w:val="00234B43"/>
    <w:rsid w:val="00236549"/>
    <w:rsid w:val="002368ED"/>
    <w:rsid w:val="00240508"/>
    <w:rsid w:val="00240568"/>
    <w:rsid w:val="00240C3C"/>
    <w:rsid w:val="00244FC9"/>
    <w:rsid w:val="002454D1"/>
    <w:rsid w:val="00247125"/>
    <w:rsid w:val="00247636"/>
    <w:rsid w:val="00247F7B"/>
    <w:rsid w:val="00252F16"/>
    <w:rsid w:val="00252FB1"/>
    <w:rsid w:val="00254D24"/>
    <w:rsid w:val="002603A9"/>
    <w:rsid w:val="002611BC"/>
    <w:rsid w:val="00261757"/>
    <w:rsid w:val="00261947"/>
    <w:rsid w:val="00263D63"/>
    <w:rsid w:val="0026412F"/>
    <w:rsid w:val="0026562E"/>
    <w:rsid w:val="0026731D"/>
    <w:rsid w:val="002679BE"/>
    <w:rsid w:val="00267BD6"/>
    <w:rsid w:val="00270567"/>
    <w:rsid w:val="00270CDD"/>
    <w:rsid w:val="00270E55"/>
    <w:rsid w:val="00270F33"/>
    <w:rsid w:val="0027343B"/>
    <w:rsid w:val="00273F79"/>
    <w:rsid w:val="00275613"/>
    <w:rsid w:val="00276D17"/>
    <w:rsid w:val="00277AE4"/>
    <w:rsid w:val="00277F24"/>
    <w:rsid w:val="0028356F"/>
    <w:rsid w:val="002874DB"/>
    <w:rsid w:val="002900F6"/>
    <w:rsid w:val="002917B6"/>
    <w:rsid w:val="00291B43"/>
    <w:rsid w:val="00291B72"/>
    <w:rsid w:val="00293524"/>
    <w:rsid w:val="00294E87"/>
    <w:rsid w:val="002955AC"/>
    <w:rsid w:val="00295A47"/>
    <w:rsid w:val="00295B8C"/>
    <w:rsid w:val="002A06EC"/>
    <w:rsid w:val="002A08D1"/>
    <w:rsid w:val="002A3C57"/>
    <w:rsid w:val="002A4CEF"/>
    <w:rsid w:val="002A4F18"/>
    <w:rsid w:val="002A4F49"/>
    <w:rsid w:val="002A545F"/>
    <w:rsid w:val="002A68D2"/>
    <w:rsid w:val="002B2B44"/>
    <w:rsid w:val="002B34F6"/>
    <w:rsid w:val="002B50C9"/>
    <w:rsid w:val="002B5942"/>
    <w:rsid w:val="002B639B"/>
    <w:rsid w:val="002B6979"/>
    <w:rsid w:val="002B7AF5"/>
    <w:rsid w:val="002C054F"/>
    <w:rsid w:val="002C0B77"/>
    <w:rsid w:val="002C12B5"/>
    <w:rsid w:val="002C3430"/>
    <w:rsid w:val="002C3A30"/>
    <w:rsid w:val="002C6DC5"/>
    <w:rsid w:val="002C7311"/>
    <w:rsid w:val="002D2B5C"/>
    <w:rsid w:val="002D2F4C"/>
    <w:rsid w:val="002D371E"/>
    <w:rsid w:val="002D3BA0"/>
    <w:rsid w:val="002D5B22"/>
    <w:rsid w:val="002E509A"/>
    <w:rsid w:val="002E68B8"/>
    <w:rsid w:val="002F0998"/>
    <w:rsid w:val="002F0B9D"/>
    <w:rsid w:val="002F0D96"/>
    <w:rsid w:val="002F11D3"/>
    <w:rsid w:val="003002B8"/>
    <w:rsid w:val="003035D1"/>
    <w:rsid w:val="00306F24"/>
    <w:rsid w:val="00310D40"/>
    <w:rsid w:val="003137DF"/>
    <w:rsid w:val="00315EF2"/>
    <w:rsid w:val="00317C2F"/>
    <w:rsid w:val="003215FB"/>
    <w:rsid w:val="003311C1"/>
    <w:rsid w:val="003318CD"/>
    <w:rsid w:val="00331FF0"/>
    <w:rsid w:val="00335AC4"/>
    <w:rsid w:val="00337776"/>
    <w:rsid w:val="00340E8F"/>
    <w:rsid w:val="00340EF5"/>
    <w:rsid w:val="003410B3"/>
    <w:rsid w:val="0034288C"/>
    <w:rsid w:val="003429BE"/>
    <w:rsid w:val="00344D40"/>
    <w:rsid w:val="003506C7"/>
    <w:rsid w:val="00351412"/>
    <w:rsid w:val="003559AF"/>
    <w:rsid w:val="00355F68"/>
    <w:rsid w:val="0035608A"/>
    <w:rsid w:val="00361B5B"/>
    <w:rsid w:val="0036277C"/>
    <w:rsid w:val="00362EB3"/>
    <w:rsid w:val="0036450E"/>
    <w:rsid w:val="003651EE"/>
    <w:rsid w:val="00370649"/>
    <w:rsid w:val="00371449"/>
    <w:rsid w:val="00373609"/>
    <w:rsid w:val="00373A27"/>
    <w:rsid w:val="00373CFE"/>
    <w:rsid w:val="00374AF3"/>
    <w:rsid w:val="003751C1"/>
    <w:rsid w:val="00377721"/>
    <w:rsid w:val="00385F25"/>
    <w:rsid w:val="00386010"/>
    <w:rsid w:val="003861DE"/>
    <w:rsid w:val="003A0E6A"/>
    <w:rsid w:val="003A2F04"/>
    <w:rsid w:val="003A4A46"/>
    <w:rsid w:val="003A4C22"/>
    <w:rsid w:val="003A7C29"/>
    <w:rsid w:val="003B01F8"/>
    <w:rsid w:val="003B425F"/>
    <w:rsid w:val="003B4442"/>
    <w:rsid w:val="003B56AE"/>
    <w:rsid w:val="003B68AA"/>
    <w:rsid w:val="003B7FF4"/>
    <w:rsid w:val="003C0831"/>
    <w:rsid w:val="003C0EC9"/>
    <w:rsid w:val="003C3C0A"/>
    <w:rsid w:val="003C50F3"/>
    <w:rsid w:val="003C5C4E"/>
    <w:rsid w:val="003C5D96"/>
    <w:rsid w:val="003C6686"/>
    <w:rsid w:val="003C676E"/>
    <w:rsid w:val="003C6F3C"/>
    <w:rsid w:val="003D0318"/>
    <w:rsid w:val="003D23A8"/>
    <w:rsid w:val="003D4C91"/>
    <w:rsid w:val="003D5D96"/>
    <w:rsid w:val="003D6884"/>
    <w:rsid w:val="003D6FB0"/>
    <w:rsid w:val="003D77CF"/>
    <w:rsid w:val="003E19A3"/>
    <w:rsid w:val="003E2705"/>
    <w:rsid w:val="003E55D0"/>
    <w:rsid w:val="003E5651"/>
    <w:rsid w:val="003F0CB6"/>
    <w:rsid w:val="003F42B4"/>
    <w:rsid w:val="003F4873"/>
    <w:rsid w:val="003F5938"/>
    <w:rsid w:val="003F72E2"/>
    <w:rsid w:val="0040036C"/>
    <w:rsid w:val="004004EB"/>
    <w:rsid w:val="00401E8E"/>
    <w:rsid w:val="00403B2B"/>
    <w:rsid w:val="00404300"/>
    <w:rsid w:val="0040494B"/>
    <w:rsid w:val="004101CC"/>
    <w:rsid w:val="00410CC5"/>
    <w:rsid w:val="00413DF7"/>
    <w:rsid w:val="004140B6"/>
    <w:rsid w:val="0041465D"/>
    <w:rsid w:val="004172B7"/>
    <w:rsid w:val="00421580"/>
    <w:rsid w:val="004220B1"/>
    <w:rsid w:val="00422FA1"/>
    <w:rsid w:val="00424711"/>
    <w:rsid w:val="0042537A"/>
    <w:rsid w:val="00425605"/>
    <w:rsid w:val="00425672"/>
    <w:rsid w:val="0042599A"/>
    <w:rsid w:val="004261B7"/>
    <w:rsid w:val="0043061E"/>
    <w:rsid w:val="0043071D"/>
    <w:rsid w:val="004308F6"/>
    <w:rsid w:val="00433646"/>
    <w:rsid w:val="004340D9"/>
    <w:rsid w:val="004366D9"/>
    <w:rsid w:val="00436F8A"/>
    <w:rsid w:val="00441D95"/>
    <w:rsid w:val="00442183"/>
    <w:rsid w:val="00445455"/>
    <w:rsid w:val="00446D07"/>
    <w:rsid w:val="00446F87"/>
    <w:rsid w:val="00452600"/>
    <w:rsid w:val="00452807"/>
    <w:rsid w:val="0045734A"/>
    <w:rsid w:val="00460CD7"/>
    <w:rsid w:val="0046157B"/>
    <w:rsid w:val="00461FB6"/>
    <w:rsid w:val="00470204"/>
    <w:rsid w:val="004702FE"/>
    <w:rsid w:val="00470A19"/>
    <w:rsid w:val="00470D37"/>
    <w:rsid w:val="0047401F"/>
    <w:rsid w:val="00475329"/>
    <w:rsid w:val="00475602"/>
    <w:rsid w:val="00475A5D"/>
    <w:rsid w:val="00476808"/>
    <w:rsid w:val="00477100"/>
    <w:rsid w:val="00477797"/>
    <w:rsid w:val="0047779D"/>
    <w:rsid w:val="00481211"/>
    <w:rsid w:val="00482A2D"/>
    <w:rsid w:val="00484B56"/>
    <w:rsid w:val="00484D26"/>
    <w:rsid w:val="004868E6"/>
    <w:rsid w:val="004875E4"/>
    <w:rsid w:val="00492D20"/>
    <w:rsid w:val="00495B4F"/>
    <w:rsid w:val="00496640"/>
    <w:rsid w:val="004A467D"/>
    <w:rsid w:val="004A49BF"/>
    <w:rsid w:val="004A6FD4"/>
    <w:rsid w:val="004A701E"/>
    <w:rsid w:val="004B4D91"/>
    <w:rsid w:val="004C1083"/>
    <w:rsid w:val="004C19C2"/>
    <w:rsid w:val="004C2C6C"/>
    <w:rsid w:val="004C4749"/>
    <w:rsid w:val="004C4E5B"/>
    <w:rsid w:val="004C5DAE"/>
    <w:rsid w:val="004C7A81"/>
    <w:rsid w:val="004D30BD"/>
    <w:rsid w:val="004D36D1"/>
    <w:rsid w:val="004D676D"/>
    <w:rsid w:val="004E3DAA"/>
    <w:rsid w:val="004E4956"/>
    <w:rsid w:val="004E5675"/>
    <w:rsid w:val="004E7707"/>
    <w:rsid w:val="004E7F8A"/>
    <w:rsid w:val="004F0246"/>
    <w:rsid w:val="004F0E9C"/>
    <w:rsid w:val="004F219F"/>
    <w:rsid w:val="004F25C9"/>
    <w:rsid w:val="004F2A87"/>
    <w:rsid w:val="004F2ED6"/>
    <w:rsid w:val="004F3058"/>
    <w:rsid w:val="004F730B"/>
    <w:rsid w:val="00500AAF"/>
    <w:rsid w:val="00500E5F"/>
    <w:rsid w:val="00500E63"/>
    <w:rsid w:val="00502E7B"/>
    <w:rsid w:val="00504583"/>
    <w:rsid w:val="005046F3"/>
    <w:rsid w:val="00505F76"/>
    <w:rsid w:val="005065FC"/>
    <w:rsid w:val="005104F1"/>
    <w:rsid w:val="00520CC2"/>
    <w:rsid w:val="005212B5"/>
    <w:rsid w:val="005216F6"/>
    <w:rsid w:val="00522600"/>
    <w:rsid w:val="00523E7F"/>
    <w:rsid w:val="00527401"/>
    <w:rsid w:val="005320C5"/>
    <w:rsid w:val="0053488F"/>
    <w:rsid w:val="005373FB"/>
    <w:rsid w:val="00537665"/>
    <w:rsid w:val="005410DD"/>
    <w:rsid w:val="0054203D"/>
    <w:rsid w:val="005422C2"/>
    <w:rsid w:val="005465CC"/>
    <w:rsid w:val="00546973"/>
    <w:rsid w:val="00546E34"/>
    <w:rsid w:val="0054720D"/>
    <w:rsid w:val="00551FEF"/>
    <w:rsid w:val="00552653"/>
    <w:rsid w:val="00552891"/>
    <w:rsid w:val="0055308E"/>
    <w:rsid w:val="00553161"/>
    <w:rsid w:val="005575C3"/>
    <w:rsid w:val="005648D7"/>
    <w:rsid w:val="005664B2"/>
    <w:rsid w:val="0056740A"/>
    <w:rsid w:val="00570A5F"/>
    <w:rsid w:val="00571AD2"/>
    <w:rsid w:val="005726E9"/>
    <w:rsid w:val="00572DCC"/>
    <w:rsid w:val="00575CD8"/>
    <w:rsid w:val="00577B94"/>
    <w:rsid w:val="00581572"/>
    <w:rsid w:val="00582E8C"/>
    <w:rsid w:val="00583285"/>
    <w:rsid w:val="0058370C"/>
    <w:rsid w:val="00583BE9"/>
    <w:rsid w:val="005846AF"/>
    <w:rsid w:val="00584DF4"/>
    <w:rsid w:val="00585451"/>
    <w:rsid w:val="005861CB"/>
    <w:rsid w:val="00587B28"/>
    <w:rsid w:val="00591147"/>
    <w:rsid w:val="00591BB8"/>
    <w:rsid w:val="0059289B"/>
    <w:rsid w:val="00593224"/>
    <w:rsid w:val="00593661"/>
    <w:rsid w:val="005948A4"/>
    <w:rsid w:val="005948D4"/>
    <w:rsid w:val="005A0953"/>
    <w:rsid w:val="005A0D4C"/>
    <w:rsid w:val="005A1CDD"/>
    <w:rsid w:val="005A21D6"/>
    <w:rsid w:val="005A3075"/>
    <w:rsid w:val="005B0700"/>
    <w:rsid w:val="005B1619"/>
    <w:rsid w:val="005B406A"/>
    <w:rsid w:val="005B4C5F"/>
    <w:rsid w:val="005B579C"/>
    <w:rsid w:val="005B5BD9"/>
    <w:rsid w:val="005B7A18"/>
    <w:rsid w:val="005C6674"/>
    <w:rsid w:val="005C6BD8"/>
    <w:rsid w:val="005D0CF2"/>
    <w:rsid w:val="005D1080"/>
    <w:rsid w:val="005D11F5"/>
    <w:rsid w:val="005D1D8C"/>
    <w:rsid w:val="005E09A5"/>
    <w:rsid w:val="005E3BBF"/>
    <w:rsid w:val="005E459C"/>
    <w:rsid w:val="005E4DBE"/>
    <w:rsid w:val="005E6BFB"/>
    <w:rsid w:val="005E7CAD"/>
    <w:rsid w:val="005F04A1"/>
    <w:rsid w:val="005F2A73"/>
    <w:rsid w:val="005F2EBF"/>
    <w:rsid w:val="005F3F82"/>
    <w:rsid w:val="005F6A69"/>
    <w:rsid w:val="00600633"/>
    <w:rsid w:val="00602226"/>
    <w:rsid w:val="006035BA"/>
    <w:rsid w:val="0060396E"/>
    <w:rsid w:val="006042E6"/>
    <w:rsid w:val="00606030"/>
    <w:rsid w:val="00611BF7"/>
    <w:rsid w:val="00614E3E"/>
    <w:rsid w:val="00615448"/>
    <w:rsid w:val="00615C6D"/>
    <w:rsid w:val="0061754B"/>
    <w:rsid w:val="00617BAF"/>
    <w:rsid w:val="00617C1E"/>
    <w:rsid w:val="006224AA"/>
    <w:rsid w:val="00624938"/>
    <w:rsid w:val="00624EAA"/>
    <w:rsid w:val="00626F95"/>
    <w:rsid w:val="00630BDB"/>
    <w:rsid w:val="00630C8D"/>
    <w:rsid w:val="00631252"/>
    <w:rsid w:val="006336D5"/>
    <w:rsid w:val="00634CB4"/>
    <w:rsid w:val="00640FDC"/>
    <w:rsid w:val="00642A06"/>
    <w:rsid w:val="006440C0"/>
    <w:rsid w:val="00644894"/>
    <w:rsid w:val="006455C4"/>
    <w:rsid w:val="0064603C"/>
    <w:rsid w:val="006477AB"/>
    <w:rsid w:val="0065042A"/>
    <w:rsid w:val="0065122F"/>
    <w:rsid w:val="006514B3"/>
    <w:rsid w:val="00660ADB"/>
    <w:rsid w:val="00660B26"/>
    <w:rsid w:val="00661970"/>
    <w:rsid w:val="006619C7"/>
    <w:rsid w:val="00662287"/>
    <w:rsid w:val="00664A54"/>
    <w:rsid w:val="00667A8E"/>
    <w:rsid w:val="00670458"/>
    <w:rsid w:val="006709CE"/>
    <w:rsid w:val="00670FD2"/>
    <w:rsid w:val="006718DF"/>
    <w:rsid w:val="00671BB3"/>
    <w:rsid w:val="00674869"/>
    <w:rsid w:val="0067654F"/>
    <w:rsid w:val="00676969"/>
    <w:rsid w:val="00680E39"/>
    <w:rsid w:val="00683E95"/>
    <w:rsid w:val="006854A8"/>
    <w:rsid w:val="006876B4"/>
    <w:rsid w:val="0068797D"/>
    <w:rsid w:val="006906A9"/>
    <w:rsid w:val="00691824"/>
    <w:rsid w:val="00692DA9"/>
    <w:rsid w:val="00693707"/>
    <w:rsid w:val="006937C2"/>
    <w:rsid w:val="006939CB"/>
    <w:rsid w:val="0069473E"/>
    <w:rsid w:val="00697C1A"/>
    <w:rsid w:val="006A12F9"/>
    <w:rsid w:val="006A41BC"/>
    <w:rsid w:val="006A45A4"/>
    <w:rsid w:val="006A4BBF"/>
    <w:rsid w:val="006A65B0"/>
    <w:rsid w:val="006B210B"/>
    <w:rsid w:val="006B3134"/>
    <w:rsid w:val="006B371D"/>
    <w:rsid w:val="006B43CB"/>
    <w:rsid w:val="006B50EB"/>
    <w:rsid w:val="006B51FB"/>
    <w:rsid w:val="006B7612"/>
    <w:rsid w:val="006C051E"/>
    <w:rsid w:val="006C074C"/>
    <w:rsid w:val="006C45FA"/>
    <w:rsid w:val="006C5016"/>
    <w:rsid w:val="006D0026"/>
    <w:rsid w:val="006D0A2C"/>
    <w:rsid w:val="006D0C1D"/>
    <w:rsid w:val="006D4DF1"/>
    <w:rsid w:val="006F1568"/>
    <w:rsid w:val="006F3A47"/>
    <w:rsid w:val="006F40F5"/>
    <w:rsid w:val="006F47E1"/>
    <w:rsid w:val="007038CB"/>
    <w:rsid w:val="00703EF7"/>
    <w:rsid w:val="007047E6"/>
    <w:rsid w:val="007101D2"/>
    <w:rsid w:val="00710ADE"/>
    <w:rsid w:val="00715D27"/>
    <w:rsid w:val="0071693E"/>
    <w:rsid w:val="00717AAC"/>
    <w:rsid w:val="007218B3"/>
    <w:rsid w:val="00721C89"/>
    <w:rsid w:val="00722DD8"/>
    <w:rsid w:val="00726090"/>
    <w:rsid w:val="00731CAF"/>
    <w:rsid w:val="00731E1E"/>
    <w:rsid w:val="00733D12"/>
    <w:rsid w:val="0073597F"/>
    <w:rsid w:val="007359F1"/>
    <w:rsid w:val="00735F3A"/>
    <w:rsid w:val="007367AA"/>
    <w:rsid w:val="0073745C"/>
    <w:rsid w:val="00737F90"/>
    <w:rsid w:val="00740C59"/>
    <w:rsid w:val="00744FBC"/>
    <w:rsid w:val="00746F2B"/>
    <w:rsid w:val="007522FC"/>
    <w:rsid w:val="00752F82"/>
    <w:rsid w:val="0075412B"/>
    <w:rsid w:val="00764C21"/>
    <w:rsid w:val="00772A54"/>
    <w:rsid w:val="00772D11"/>
    <w:rsid w:val="0077365D"/>
    <w:rsid w:val="00773970"/>
    <w:rsid w:val="00773E0D"/>
    <w:rsid w:val="00775F31"/>
    <w:rsid w:val="00776877"/>
    <w:rsid w:val="007829AB"/>
    <w:rsid w:val="00783189"/>
    <w:rsid w:val="007842E6"/>
    <w:rsid w:val="007857AC"/>
    <w:rsid w:val="00785C35"/>
    <w:rsid w:val="007870C5"/>
    <w:rsid w:val="007900A5"/>
    <w:rsid w:val="00791F90"/>
    <w:rsid w:val="00792BE5"/>
    <w:rsid w:val="00792D04"/>
    <w:rsid w:val="00793507"/>
    <w:rsid w:val="00793557"/>
    <w:rsid w:val="00793E20"/>
    <w:rsid w:val="00793FB9"/>
    <w:rsid w:val="007949EC"/>
    <w:rsid w:val="00795084"/>
    <w:rsid w:val="00796481"/>
    <w:rsid w:val="007A2C9F"/>
    <w:rsid w:val="007A2CC0"/>
    <w:rsid w:val="007A5FEC"/>
    <w:rsid w:val="007A704E"/>
    <w:rsid w:val="007A79FC"/>
    <w:rsid w:val="007A7D06"/>
    <w:rsid w:val="007B14E5"/>
    <w:rsid w:val="007B4EE4"/>
    <w:rsid w:val="007B549C"/>
    <w:rsid w:val="007B7B8B"/>
    <w:rsid w:val="007C1EEB"/>
    <w:rsid w:val="007C2721"/>
    <w:rsid w:val="007C2DF3"/>
    <w:rsid w:val="007C5661"/>
    <w:rsid w:val="007D126C"/>
    <w:rsid w:val="007D1DE4"/>
    <w:rsid w:val="007D2731"/>
    <w:rsid w:val="007D43F2"/>
    <w:rsid w:val="007D56BE"/>
    <w:rsid w:val="007E1E91"/>
    <w:rsid w:val="007E1F53"/>
    <w:rsid w:val="007E3017"/>
    <w:rsid w:val="007E325A"/>
    <w:rsid w:val="007E759F"/>
    <w:rsid w:val="007F091B"/>
    <w:rsid w:val="007F0942"/>
    <w:rsid w:val="007F10AB"/>
    <w:rsid w:val="007F196B"/>
    <w:rsid w:val="007F2E02"/>
    <w:rsid w:val="007F461C"/>
    <w:rsid w:val="008053DE"/>
    <w:rsid w:val="00805523"/>
    <w:rsid w:val="00807E17"/>
    <w:rsid w:val="0081000D"/>
    <w:rsid w:val="00810FC7"/>
    <w:rsid w:val="008114FA"/>
    <w:rsid w:val="00812ACE"/>
    <w:rsid w:val="00814CD4"/>
    <w:rsid w:val="00821885"/>
    <w:rsid w:val="00821F8B"/>
    <w:rsid w:val="00822580"/>
    <w:rsid w:val="008227F1"/>
    <w:rsid w:val="00822C50"/>
    <w:rsid w:val="00824BBE"/>
    <w:rsid w:val="0082557B"/>
    <w:rsid w:val="0082575E"/>
    <w:rsid w:val="00826D8E"/>
    <w:rsid w:val="0082728F"/>
    <w:rsid w:val="00827BB9"/>
    <w:rsid w:val="00827C7F"/>
    <w:rsid w:val="00827FED"/>
    <w:rsid w:val="00830360"/>
    <w:rsid w:val="008322A1"/>
    <w:rsid w:val="00835DE2"/>
    <w:rsid w:val="00844751"/>
    <w:rsid w:val="00847ED6"/>
    <w:rsid w:val="008513D0"/>
    <w:rsid w:val="008524DC"/>
    <w:rsid w:val="008545CA"/>
    <w:rsid w:val="00854686"/>
    <w:rsid w:val="00856F3F"/>
    <w:rsid w:val="00857694"/>
    <w:rsid w:val="00857F42"/>
    <w:rsid w:val="0086044E"/>
    <w:rsid w:val="00863783"/>
    <w:rsid w:val="008645FA"/>
    <w:rsid w:val="00865235"/>
    <w:rsid w:val="00865827"/>
    <w:rsid w:val="00867EEB"/>
    <w:rsid w:val="00871441"/>
    <w:rsid w:val="00872754"/>
    <w:rsid w:val="00873D52"/>
    <w:rsid w:val="00875343"/>
    <w:rsid w:val="00880CA0"/>
    <w:rsid w:val="008822CD"/>
    <w:rsid w:val="0088590E"/>
    <w:rsid w:val="008878EF"/>
    <w:rsid w:val="00891A44"/>
    <w:rsid w:val="008921F9"/>
    <w:rsid w:val="00897B40"/>
    <w:rsid w:val="008A137C"/>
    <w:rsid w:val="008A3479"/>
    <w:rsid w:val="008A6531"/>
    <w:rsid w:val="008A752F"/>
    <w:rsid w:val="008B3F44"/>
    <w:rsid w:val="008B468E"/>
    <w:rsid w:val="008B627A"/>
    <w:rsid w:val="008B6DE5"/>
    <w:rsid w:val="008C082D"/>
    <w:rsid w:val="008C44AA"/>
    <w:rsid w:val="008C4A60"/>
    <w:rsid w:val="008C6930"/>
    <w:rsid w:val="008C716E"/>
    <w:rsid w:val="008C7560"/>
    <w:rsid w:val="008C7E69"/>
    <w:rsid w:val="008D02BE"/>
    <w:rsid w:val="008D12F1"/>
    <w:rsid w:val="008D297F"/>
    <w:rsid w:val="008D3939"/>
    <w:rsid w:val="008D5273"/>
    <w:rsid w:val="008D54D9"/>
    <w:rsid w:val="008D54F9"/>
    <w:rsid w:val="008D6E46"/>
    <w:rsid w:val="008D6E87"/>
    <w:rsid w:val="008E00BD"/>
    <w:rsid w:val="008E0175"/>
    <w:rsid w:val="008E3310"/>
    <w:rsid w:val="008E3FA8"/>
    <w:rsid w:val="008E4AA1"/>
    <w:rsid w:val="008E6863"/>
    <w:rsid w:val="008E73B2"/>
    <w:rsid w:val="008E7E73"/>
    <w:rsid w:val="008F0F62"/>
    <w:rsid w:val="008F1C1C"/>
    <w:rsid w:val="008F4BA5"/>
    <w:rsid w:val="008F77EC"/>
    <w:rsid w:val="00900232"/>
    <w:rsid w:val="00901271"/>
    <w:rsid w:val="00901A8A"/>
    <w:rsid w:val="0090585F"/>
    <w:rsid w:val="00905886"/>
    <w:rsid w:val="009067BC"/>
    <w:rsid w:val="00910D10"/>
    <w:rsid w:val="00913CAF"/>
    <w:rsid w:val="0091613F"/>
    <w:rsid w:val="00917C6E"/>
    <w:rsid w:val="00920AE8"/>
    <w:rsid w:val="00922571"/>
    <w:rsid w:val="0092293E"/>
    <w:rsid w:val="00923875"/>
    <w:rsid w:val="009240A2"/>
    <w:rsid w:val="00925220"/>
    <w:rsid w:val="009271AA"/>
    <w:rsid w:val="00932EA1"/>
    <w:rsid w:val="00933183"/>
    <w:rsid w:val="00934ECB"/>
    <w:rsid w:val="00937B50"/>
    <w:rsid w:val="009412E9"/>
    <w:rsid w:val="00942861"/>
    <w:rsid w:val="00945AE6"/>
    <w:rsid w:val="00951340"/>
    <w:rsid w:val="00954400"/>
    <w:rsid w:val="0095473F"/>
    <w:rsid w:val="00960D3B"/>
    <w:rsid w:val="009638BC"/>
    <w:rsid w:val="00963D3B"/>
    <w:rsid w:val="00964968"/>
    <w:rsid w:val="00972624"/>
    <w:rsid w:val="00974B62"/>
    <w:rsid w:val="00976B35"/>
    <w:rsid w:val="00980C41"/>
    <w:rsid w:val="00983CE3"/>
    <w:rsid w:val="009841A7"/>
    <w:rsid w:val="00987289"/>
    <w:rsid w:val="009877B4"/>
    <w:rsid w:val="009907E9"/>
    <w:rsid w:val="00990FC8"/>
    <w:rsid w:val="00992261"/>
    <w:rsid w:val="00994554"/>
    <w:rsid w:val="009A0E47"/>
    <w:rsid w:val="009A5269"/>
    <w:rsid w:val="009A7699"/>
    <w:rsid w:val="009B0279"/>
    <w:rsid w:val="009B18CF"/>
    <w:rsid w:val="009B1CCC"/>
    <w:rsid w:val="009B3976"/>
    <w:rsid w:val="009B56B3"/>
    <w:rsid w:val="009C08E4"/>
    <w:rsid w:val="009C34A4"/>
    <w:rsid w:val="009C47DB"/>
    <w:rsid w:val="009C74EF"/>
    <w:rsid w:val="009D05AE"/>
    <w:rsid w:val="009D13DF"/>
    <w:rsid w:val="009D1DD6"/>
    <w:rsid w:val="009D3F39"/>
    <w:rsid w:val="009D6066"/>
    <w:rsid w:val="009D7B96"/>
    <w:rsid w:val="009E6181"/>
    <w:rsid w:val="009E7B43"/>
    <w:rsid w:val="009F0641"/>
    <w:rsid w:val="009F1051"/>
    <w:rsid w:val="009F1410"/>
    <w:rsid w:val="009F1D22"/>
    <w:rsid w:val="009F41B3"/>
    <w:rsid w:val="009F4A3B"/>
    <w:rsid w:val="009F4C5D"/>
    <w:rsid w:val="009F4F7C"/>
    <w:rsid w:val="009F5967"/>
    <w:rsid w:val="009F6390"/>
    <w:rsid w:val="009F78DA"/>
    <w:rsid w:val="00A00349"/>
    <w:rsid w:val="00A010E2"/>
    <w:rsid w:val="00A07066"/>
    <w:rsid w:val="00A11AF0"/>
    <w:rsid w:val="00A142FF"/>
    <w:rsid w:val="00A175CE"/>
    <w:rsid w:val="00A20211"/>
    <w:rsid w:val="00A25019"/>
    <w:rsid w:val="00A317E5"/>
    <w:rsid w:val="00A326D6"/>
    <w:rsid w:val="00A33A0D"/>
    <w:rsid w:val="00A35306"/>
    <w:rsid w:val="00A37B6C"/>
    <w:rsid w:val="00A408D1"/>
    <w:rsid w:val="00A4118E"/>
    <w:rsid w:val="00A413B5"/>
    <w:rsid w:val="00A4205C"/>
    <w:rsid w:val="00A4242E"/>
    <w:rsid w:val="00A42E5B"/>
    <w:rsid w:val="00A44393"/>
    <w:rsid w:val="00A4626B"/>
    <w:rsid w:val="00A46BC6"/>
    <w:rsid w:val="00A4737B"/>
    <w:rsid w:val="00A50B53"/>
    <w:rsid w:val="00A60527"/>
    <w:rsid w:val="00A61078"/>
    <w:rsid w:val="00A62529"/>
    <w:rsid w:val="00A62910"/>
    <w:rsid w:val="00A634DE"/>
    <w:rsid w:val="00A6350A"/>
    <w:rsid w:val="00A65B78"/>
    <w:rsid w:val="00A67F78"/>
    <w:rsid w:val="00A7156D"/>
    <w:rsid w:val="00A7159C"/>
    <w:rsid w:val="00A71905"/>
    <w:rsid w:val="00A720E6"/>
    <w:rsid w:val="00A72827"/>
    <w:rsid w:val="00A73DE7"/>
    <w:rsid w:val="00A74B40"/>
    <w:rsid w:val="00A77AD3"/>
    <w:rsid w:val="00A8475D"/>
    <w:rsid w:val="00A85746"/>
    <w:rsid w:val="00A85985"/>
    <w:rsid w:val="00A8780A"/>
    <w:rsid w:val="00A878D8"/>
    <w:rsid w:val="00A903C8"/>
    <w:rsid w:val="00A93670"/>
    <w:rsid w:val="00A9401C"/>
    <w:rsid w:val="00A9406A"/>
    <w:rsid w:val="00A945E4"/>
    <w:rsid w:val="00A94888"/>
    <w:rsid w:val="00A95568"/>
    <w:rsid w:val="00AA42B8"/>
    <w:rsid w:val="00AA75B9"/>
    <w:rsid w:val="00AA7A9E"/>
    <w:rsid w:val="00AB0808"/>
    <w:rsid w:val="00AC2A04"/>
    <w:rsid w:val="00AC2DD1"/>
    <w:rsid w:val="00AC39CC"/>
    <w:rsid w:val="00AD0087"/>
    <w:rsid w:val="00AD0380"/>
    <w:rsid w:val="00AD0FB9"/>
    <w:rsid w:val="00AD0FFE"/>
    <w:rsid w:val="00AD26A9"/>
    <w:rsid w:val="00AD40F5"/>
    <w:rsid w:val="00AD55CF"/>
    <w:rsid w:val="00AD5B1B"/>
    <w:rsid w:val="00AD7399"/>
    <w:rsid w:val="00AD7F71"/>
    <w:rsid w:val="00AE1219"/>
    <w:rsid w:val="00AE31F3"/>
    <w:rsid w:val="00AE3D09"/>
    <w:rsid w:val="00AE3F95"/>
    <w:rsid w:val="00AE6A5A"/>
    <w:rsid w:val="00AE70E1"/>
    <w:rsid w:val="00AE7741"/>
    <w:rsid w:val="00AF0462"/>
    <w:rsid w:val="00AF0EA3"/>
    <w:rsid w:val="00AF2716"/>
    <w:rsid w:val="00AF3F45"/>
    <w:rsid w:val="00AF55D3"/>
    <w:rsid w:val="00AF6774"/>
    <w:rsid w:val="00B032FA"/>
    <w:rsid w:val="00B0446A"/>
    <w:rsid w:val="00B05AC1"/>
    <w:rsid w:val="00B0609B"/>
    <w:rsid w:val="00B0694C"/>
    <w:rsid w:val="00B07CA1"/>
    <w:rsid w:val="00B13F79"/>
    <w:rsid w:val="00B14C8F"/>
    <w:rsid w:val="00B1592B"/>
    <w:rsid w:val="00B16599"/>
    <w:rsid w:val="00B22174"/>
    <w:rsid w:val="00B25FC1"/>
    <w:rsid w:val="00B304AD"/>
    <w:rsid w:val="00B3223E"/>
    <w:rsid w:val="00B3497F"/>
    <w:rsid w:val="00B3711A"/>
    <w:rsid w:val="00B42621"/>
    <w:rsid w:val="00B42DEF"/>
    <w:rsid w:val="00B52C87"/>
    <w:rsid w:val="00B55964"/>
    <w:rsid w:val="00B60137"/>
    <w:rsid w:val="00B60891"/>
    <w:rsid w:val="00B60BA0"/>
    <w:rsid w:val="00B62503"/>
    <w:rsid w:val="00B6340B"/>
    <w:rsid w:val="00B63699"/>
    <w:rsid w:val="00B66E06"/>
    <w:rsid w:val="00B70D68"/>
    <w:rsid w:val="00B71A2D"/>
    <w:rsid w:val="00B729B4"/>
    <w:rsid w:val="00B7362C"/>
    <w:rsid w:val="00B736B1"/>
    <w:rsid w:val="00B73A30"/>
    <w:rsid w:val="00B75AE5"/>
    <w:rsid w:val="00B80DE5"/>
    <w:rsid w:val="00B818FB"/>
    <w:rsid w:val="00B82168"/>
    <w:rsid w:val="00B86397"/>
    <w:rsid w:val="00B91C5C"/>
    <w:rsid w:val="00B91F84"/>
    <w:rsid w:val="00B92A24"/>
    <w:rsid w:val="00B94CD0"/>
    <w:rsid w:val="00B97E18"/>
    <w:rsid w:val="00BA5235"/>
    <w:rsid w:val="00BA6EF6"/>
    <w:rsid w:val="00BB23C4"/>
    <w:rsid w:val="00BB2506"/>
    <w:rsid w:val="00BB5A23"/>
    <w:rsid w:val="00BB7EAE"/>
    <w:rsid w:val="00BC202E"/>
    <w:rsid w:val="00BC4433"/>
    <w:rsid w:val="00BC5592"/>
    <w:rsid w:val="00BC77DD"/>
    <w:rsid w:val="00BD1104"/>
    <w:rsid w:val="00BD34D6"/>
    <w:rsid w:val="00BD3E4A"/>
    <w:rsid w:val="00BD42F0"/>
    <w:rsid w:val="00BD6FAA"/>
    <w:rsid w:val="00BD74C6"/>
    <w:rsid w:val="00BD7C2B"/>
    <w:rsid w:val="00BE15B1"/>
    <w:rsid w:val="00BE2231"/>
    <w:rsid w:val="00BE2666"/>
    <w:rsid w:val="00BE576A"/>
    <w:rsid w:val="00BF25FE"/>
    <w:rsid w:val="00BF2A04"/>
    <w:rsid w:val="00BF2ED3"/>
    <w:rsid w:val="00BF786F"/>
    <w:rsid w:val="00C0172D"/>
    <w:rsid w:val="00C0193C"/>
    <w:rsid w:val="00C02731"/>
    <w:rsid w:val="00C0409A"/>
    <w:rsid w:val="00C104D2"/>
    <w:rsid w:val="00C15DB8"/>
    <w:rsid w:val="00C20E66"/>
    <w:rsid w:val="00C22F4C"/>
    <w:rsid w:val="00C24AEE"/>
    <w:rsid w:val="00C27743"/>
    <w:rsid w:val="00C326EC"/>
    <w:rsid w:val="00C33274"/>
    <w:rsid w:val="00C35116"/>
    <w:rsid w:val="00C36773"/>
    <w:rsid w:val="00C45536"/>
    <w:rsid w:val="00C45F76"/>
    <w:rsid w:val="00C46556"/>
    <w:rsid w:val="00C46626"/>
    <w:rsid w:val="00C4726A"/>
    <w:rsid w:val="00C477A8"/>
    <w:rsid w:val="00C47FAB"/>
    <w:rsid w:val="00C50AED"/>
    <w:rsid w:val="00C50B74"/>
    <w:rsid w:val="00C50D8E"/>
    <w:rsid w:val="00C51694"/>
    <w:rsid w:val="00C53FBD"/>
    <w:rsid w:val="00C56352"/>
    <w:rsid w:val="00C56D70"/>
    <w:rsid w:val="00C5748E"/>
    <w:rsid w:val="00C57520"/>
    <w:rsid w:val="00C5772E"/>
    <w:rsid w:val="00C61E8C"/>
    <w:rsid w:val="00C65627"/>
    <w:rsid w:val="00C70A8D"/>
    <w:rsid w:val="00C71AE2"/>
    <w:rsid w:val="00C72FED"/>
    <w:rsid w:val="00C736BD"/>
    <w:rsid w:val="00C74713"/>
    <w:rsid w:val="00C80C89"/>
    <w:rsid w:val="00C8296F"/>
    <w:rsid w:val="00C90ABF"/>
    <w:rsid w:val="00C916EE"/>
    <w:rsid w:val="00C926AD"/>
    <w:rsid w:val="00C926D6"/>
    <w:rsid w:val="00C943C6"/>
    <w:rsid w:val="00C97DC1"/>
    <w:rsid w:val="00CA03CC"/>
    <w:rsid w:val="00CA2B8C"/>
    <w:rsid w:val="00CA36DF"/>
    <w:rsid w:val="00CA3A7D"/>
    <w:rsid w:val="00CA45C8"/>
    <w:rsid w:val="00CA6C23"/>
    <w:rsid w:val="00CA730E"/>
    <w:rsid w:val="00CB39FF"/>
    <w:rsid w:val="00CB4C1F"/>
    <w:rsid w:val="00CB5E76"/>
    <w:rsid w:val="00CB6826"/>
    <w:rsid w:val="00CC30D0"/>
    <w:rsid w:val="00CC5181"/>
    <w:rsid w:val="00CC7A45"/>
    <w:rsid w:val="00CC7D6D"/>
    <w:rsid w:val="00CD2FAC"/>
    <w:rsid w:val="00CD374A"/>
    <w:rsid w:val="00CD3795"/>
    <w:rsid w:val="00CD454B"/>
    <w:rsid w:val="00CD5EE6"/>
    <w:rsid w:val="00CE1927"/>
    <w:rsid w:val="00CE1E6B"/>
    <w:rsid w:val="00CE6ECA"/>
    <w:rsid w:val="00CE7326"/>
    <w:rsid w:val="00CF33C2"/>
    <w:rsid w:val="00CF54FD"/>
    <w:rsid w:val="00CF70B1"/>
    <w:rsid w:val="00CF7454"/>
    <w:rsid w:val="00D0410C"/>
    <w:rsid w:val="00D043D9"/>
    <w:rsid w:val="00D059C0"/>
    <w:rsid w:val="00D06C29"/>
    <w:rsid w:val="00D07AFE"/>
    <w:rsid w:val="00D100CE"/>
    <w:rsid w:val="00D147E5"/>
    <w:rsid w:val="00D14CE3"/>
    <w:rsid w:val="00D20AE4"/>
    <w:rsid w:val="00D2348A"/>
    <w:rsid w:val="00D24092"/>
    <w:rsid w:val="00D26363"/>
    <w:rsid w:val="00D26BB7"/>
    <w:rsid w:val="00D27013"/>
    <w:rsid w:val="00D305CA"/>
    <w:rsid w:val="00D306B2"/>
    <w:rsid w:val="00D30C7D"/>
    <w:rsid w:val="00D31F7C"/>
    <w:rsid w:val="00D32548"/>
    <w:rsid w:val="00D33485"/>
    <w:rsid w:val="00D33A8E"/>
    <w:rsid w:val="00D352F6"/>
    <w:rsid w:val="00D35BAB"/>
    <w:rsid w:val="00D36417"/>
    <w:rsid w:val="00D3713B"/>
    <w:rsid w:val="00D37DB7"/>
    <w:rsid w:val="00D4128D"/>
    <w:rsid w:val="00D41825"/>
    <w:rsid w:val="00D42914"/>
    <w:rsid w:val="00D43661"/>
    <w:rsid w:val="00D45896"/>
    <w:rsid w:val="00D50438"/>
    <w:rsid w:val="00D5132F"/>
    <w:rsid w:val="00D515E7"/>
    <w:rsid w:val="00D518C6"/>
    <w:rsid w:val="00D51E0D"/>
    <w:rsid w:val="00D621DD"/>
    <w:rsid w:val="00D624D5"/>
    <w:rsid w:val="00D63B9A"/>
    <w:rsid w:val="00D656B3"/>
    <w:rsid w:val="00D65A16"/>
    <w:rsid w:val="00D73FCD"/>
    <w:rsid w:val="00D76216"/>
    <w:rsid w:val="00D8022B"/>
    <w:rsid w:val="00D81DB4"/>
    <w:rsid w:val="00D82543"/>
    <w:rsid w:val="00D84983"/>
    <w:rsid w:val="00D86366"/>
    <w:rsid w:val="00D863A7"/>
    <w:rsid w:val="00D87C68"/>
    <w:rsid w:val="00D903CB"/>
    <w:rsid w:val="00D9148D"/>
    <w:rsid w:val="00D949A4"/>
    <w:rsid w:val="00D95A1A"/>
    <w:rsid w:val="00DA0AB6"/>
    <w:rsid w:val="00DA13DC"/>
    <w:rsid w:val="00DA4F53"/>
    <w:rsid w:val="00DA6A17"/>
    <w:rsid w:val="00DA787D"/>
    <w:rsid w:val="00DB01B8"/>
    <w:rsid w:val="00DB128A"/>
    <w:rsid w:val="00DB2652"/>
    <w:rsid w:val="00DB4235"/>
    <w:rsid w:val="00DB439A"/>
    <w:rsid w:val="00DB7248"/>
    <w:rsid w:val="00DC155C"/>
    <w:rsid w:val="00DC1650"/>
    <w:rsid w:val="00DC2137"/>
    <w:rsid w:val="00DC4ED7"/>
    <w:rsid w:val="00DC511F"/>
    <w:rsid w:val="00DC5CAF"/>
    <w:rsid w:val="00DC5ED0"/>
    <w:rsid w:val="00DC6DA5"/>
    <w:rsid w:val="00DC7B96"/>
    <w:rsid w:val="00DD0A08"/>
    <w:rsid w:val="00DD2FC0"/>
    <w:rsid w:val="00DD3E6A"/>
    <w:rsid w:val="00DD6CF4"/>
    <w:rsid w:val="00DE042C"/>
    <w:rsid w:val="00DE0AA2"/>
    <w:rsid w:val="00DE1199"/>
    <w:rsid w:val="00DE3205"/>
    <w:rsid w:val="00DE4287"/>
    <w:rsid w:val="00DE5BA9"/>
    <w:rsid w:val="00DE62FE"/>
    <w:rsid w:val="00DF172D"/>
    <w:rsid w:val="00DF17F1"/>
    <w:rsid w:val="00DF1862"/>
    <w:rsid w:val="00DF305C"/>
    <w:rsid w:val="00DF5E38"/>
    <w:rsid w:val="00E00AB5"/>
    <w:rsid w:val="00E0241A"/>
    <w:rsid w:val="00E04087"/>
    <w:rsid w:val="00E06C31"/>
    <w:rsid w:val="00E13762"/>
    <w:rsid w:val="00E154E6"/>
    <w:rsid w:val="00E16F48"/>
    <w:rsid w:val="00E17E1D"/>
    <w:rsid w:val="00E20B3A"/>
    <w:rsid w:val="00E20E0B"/>
    <w:rsid w:val="00E20EEB"/>
    <w:rsid w:val="00E23A70"/>
    <w:rsid w:val="00E3024B"/>
    <w:rsid w:val="00E32BE5"/>
    <w:rsid w:val="00E35EA7"/>
    <w:rsid w:val="00E36DAD"/>
    <w:rsid w:val="00E40814"/>
    <w:rsid w:val="00E41416"/>
    <w:rsid w:val="00E42CE8"/>
    <w:rsid w:val="00E43C8A"/>
    <w:rsid w:val="00E445C5"/>
    <w:rsid w:val="00E447FB"/>
    <w:rsid w:val="00E45AF0"/>
    <w:rsid w:val="00E478DB"/>
    <w:rsid w:val="00E47D92"/>
    <w:rsid w:val="00E52369"/>
    <w:rsid w:val="00E53793"/>
    <w:rsid w:val="00E53FAC"/>
    <w:rsid w:val="00E54A04"/>
    <w:rsid w:val="00E5576C"/>
    <w:rsid w:val="00E56AD2"/>
    <w:rsid w:val="00E60F0F"/>
    <w:rsid w:val="00E71068"/>
    <w:rsid w:val="00E749C6"/>
    <w:rsid w:val="00E75870"/>
    <w:rsid w:val="00E82FE0"/>
    <w:rsid w:val="00E8459A"/>
    <w:rsid w:val="00E86F05"/>
    <w:rsid w:val="00E870AA"/>
    <w:rsid w:val="00E934F4"/>
    <w:rsid w:val="00E95C4A"/>
    <w:rsid w:val="00E962E9"/>
    <w:rsid w:val="00E978DC"/>
    <w:rsid w:val="00EA4593"/>
    <w:rsid w:val="00EA4A70"/>
    <w:rsid w:val="00EA65DA"/>
    <w:rsid w:val="00EB5EE6"/>
    <w:rsid w:val="00EB7F70"/>
    <w:rsid w:val="00EC0108"/>
    <w:rsid w:val="00EC2636"/>
    <w:rsid w:val="00EC4DF5"/>
    <w:rsid w:val="00EC610F"/>
    <w:rsid w:val="00ED4F1A"/>
    <w:rsid w:val="00ED5F21"/>
    <w:rsid w:val="00ED7A2D"/>
    <w:rsid w:val="00EE06AD"/>
    <w:rsid w:val="00EE0DAC"/>
    <w:rsid w:val="00EE1654"/>
    <w:rsid w:val="00EE475D"/>
    <w:rsid w:val="00EE4CB4"/>
    <w:rsid w:val="00EE5C4E"/>
    <w:rsid w:val="00EE6861"/>
    <w:rsid w:val="00EE6C8C"/>
    <w:rsid w:val="00EF04A9"/>
    <w:rsid w:val="00EF15B8"/>
    <w:rsid w:val="00EF3D7D"/>
    <w:rsid w:val="00EF463B"/>
    <w:rsid w:val="00EF56AE"/>
    <w:rsid w:val="00EF5DE0"/>
    <w:rsid w:val="00EF6DC5"/>
    <w:rsid w:val="00EF757B"/>
    <w:rsid w:val="00EF7CC0"/>
    <w:rsid w:val="00F028AD"/>
    <w:rsid w:val="00F10EDD"/>
    <w:rsid w:val="00F11504"/>
    <w:rsid w:val="00F152C2"/>
    <w:rsid w:val="00F1641D"/>
    <w:rsid w:val="00F25B72"/>
    <w:rsid w:val="00F25B77"/>
    <w:rsid w:val="00F31127"/>
    <w:rsid w:val="00F31940"/>
    <w:rsid w:val="00F36DF8"/>
    <w:rsid w:val="00F37F0F"/>
    <w:rsid w:val="00F42513"/>
    <w:rsid w:val="00F42D76"/>
    <w:rsid w:val="00F430DD"/>
    <w:rsid w:val="00F435D2"/>
    <w:rsid w:val="00F546FB"/>
    <w:rsid w:val="00F56C01"/>
    <w:rsid w:val="00F56CC2"/>
    <w:rsid w:val="00F6207C"/>
    <w:rsid w:val="00F63A16"/>
    <w:rsid w:val="00F65A0A"/>
    <w:rsid w:val="00F72EC1"/>
    <w:rsid w:val="00F76972"/>
    <w:rsid w:val="00F82098"/>
    <w:rsid w:val="00F84EE3"/>
    <w:rsid w:val="00F850FD"/>
    <w:rsid w:val="00F86E05"/>
    <w:rsid w:val="00F93C5B"/>
    <w:rsid w:val="00F96A06"/>
    <w:rsid w:val="00F97ACD"/>
    <w:rsid w:val="00FA07C3"/>
    <w:rsid w:val="00FA0CB9"/>
    <w:rsid w:val="00FA12D9"/>
    <w:rsid w:val="00FA2BCF"/>
    <w:rsid w:val="00FA691D"/>
    <w:rsid w:val="00FA7083"/>
    <w:rsid w:val="00FA7D3E"/>
    <w:rsid w:val="00FB4E37"/>
    <w:rsid w:val="00FB5A78"/>
    <w:rsid w:val="00FB6E6D"/>
    <w:rsid w:val="00FB7985"/>
    <w:rsid w:val="00FC3E3C"/>
    <w:rsid w:val="00FC506D"/>
    <w:rsid w:val="00FD0226"/>
    <w:rsid w:val="00FD0DE9"/>
    <w:rsid w:val="00FD0FD7"/>
    <w:rsid w:val="00FD2DAD"/>
    <w:rsid w:val="00FD410D"/>
    <w:rsid w:val="00FD7684"/>
    <w:rsid w:val="00FE06C5"/>
    <w:rsid w:val="00FE15B2"/>
    <w:rsid w:val="00FE4FA5"/>
    <w:rsid w:val="00FE520E"/>
    <w:rsid w:val="00FE5A23"/>
    <w:rsid w:val="00FE7090"/>
    <w:rsid w:val="00FF4328"/>
    <w:rsid w:val="00FF55F0"/>
    <w:rsid w:val="00FF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3EE4D"/>
  <w15:docId w15:val="{C26F750D-3456-43EF-8DB4-5B63B2FC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201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114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75C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0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customStyle="1" w:styleId="TabelaSimples21">
    <w:name w:val="Tabela Simples 21"/>
    <w:basedOn w:val="Tabelanormal"/>
    <w:uiPriority w:val="42"/>
    <w:rsid w:val="0047020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2201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114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aSimples31">
    <w:name w:val="Tabela Simples 31"/>
    <w:basedOn w:val="Tabelanormal"/>
    <w:uiPriority w:val="43"/>
    <w:rsid w:val="000E75A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comgrade">
    <w:name w:val="Table Grid"/>
    <w:basedOn w:val="Tabelanormal"/>
    <w:uiPriority w:val="39"/>
    <w:rsid w:val="000E7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elanormal"/>
    <w:uiPriority w:val="40"/>
    <w:rsid w:val="00361B5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31">
    <w:name w:val="Plain Table 31"/>
    <w:basedOn w:val="Tabelanormal"/>
    <w:uiPriority w:val="43"/>
    <w:rsid w:val="00361B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grafodaLista">
    <w:name w:val="List Paragraph"/>
    <w:basedOn w:val="Normal"/>
    <w:uiPriority w:val="34"/>
    <w:qFormat/>
    <w:rsid w:val="00B52C87"/>
    <w:pPr>
      <w:ind w:left="720"/>
      <w:contextualSpacing/>
    </w:pPr>
  </w:style>
  <w:style w:type="character" w:styleId="Nmerodelinha">
    <w:name w:val="line number"/>
    <w:basedOn w:val="Fontepargpadro"/>
    <w:uiPriority w:val="99"/>
    <w:semiHidden/>
    <w:unhideWhenUsed/>
    <w:rsid w:val="00D82543"/>
  </w:style>
  <w:style w:type="paragraph" w:styleId="Textodenotaderodap">
    <w:name w:val="footnote text"/>
    <w:basedOn w:val="Normal"/>
    <w:link w:val="TextodenotaderodapChar"/>
    <w:rsid w:val="004101CC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4101CC"/>
    <w:rPr>
      <w:rFonts w:ascii="Arial" w:eastAsia="Times New Roman" w:hAnsi="Arial" w:cs="Times New Roman"/>
      <w:sz w:val="20"/>
      <w:szCs w:val="20"/>
      <w:lang w:eastAsia="pt-BR"/>
    </w:rPr>
  </w:style>
  <w:style w:type="table" w:customStyle="1" w:styleId="TabelaSimples41">
    <w:name w:val="Tabela Simples 41"/>
    <w:basedOn w:val="Tabelanormal"/>
    <w:uiPriority w:val="44"/>
    <w:rsid w:val="000C79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bealho">
    <w:name w:val="header"/>
    <w:basedOn w:val="Normal"/>
    <w:link w:val="CabealhoChar"/>
    <w:uiPriority w:val="99"/>
    <w:unhideWhenUsed/>
    <w:rsid w:val="00E040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087"/>
  </w:style>
  <w:style w:type="paragraph" w:styleId="Rodap">
    <w:name w:val="footer"/>
    <w:basedOn w:val="Normal"/>
    <w:link w:val="RodapChar"/>
    <w:uiPriority w:val="99"/>
    <w:unhideWhenUsed/>
    <w:rsid w:val="00E040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087"/>
  </w:style>
  <w:style w:type="character" w:styleId="Refdecomentrio">
    <w:name w:val="annotation reference"/>
    <w:basedOn w:val="Fontepargpadro"/>
    <w:uiPriority w:val="99"/>
    <w:semiHidden/>
    <w:unhideWhenUsed/>
    <w:rsid w:val="00AD73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D73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D73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73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7399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AD7399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D7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7399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81000D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3C3C0A"/>
  </w:style>
  <w:style w:type="character" w:styleId="nfase">
    <w:name w:val="Emphasis"/>
    <w:basedOn w:val="Fontepargpadro"/>
    <w:uiPriority w:val="20"/>
    <w:qFormat/>
    <w:rsid w:val="003C3C0A"/>
    <w:rPr>
      <w:i/>
      <w:iCs/>
    </w:rPr>
  </w:style>
  <w:style w:type="character" w:customStyle="1" w:styleId="fontstyle01">
    <w:name w:val="fontstyle01"/>
    <w:basedOn w:val="Fontepargpadro"/>
    <w:rsid w:val="001D4D24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75CD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Forte">
    <w:name w:val="Strong"/>
    <w:basedOn w:val="Fontepargpadro"/>
    <w:uiPriority w:val="22"/>
    <w:qFormat/>
    <w:rsid w:val="00C56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21314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doi.org/10.2527/jas.2010-3808" TargetMode="External"/><Relationship Id="rId18" Type="http://schemas.openxmlformats.org/officeDocument/2006/relationships/hyperlink" Target="https://doi.org/10.2527/1995.731278x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i.org/10.3168/jds.S0022-0302(91)78551-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2527/jas.2015-9314" TargetMode="External"/><Relationship Id="rId17" Type="http://schemas.openxmlformats.org/officeDocument/2006/relationships/hyperlink" Target="https://doi.org/10.3382/ps.067105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i.org/10.2527/jas.2007-0127" TargetMode="External"/><Relationship Id="rId20" Type="http://schemas.openxmlformats.org/officeDocument/2006/relationships/hyperlink" Target="https://doi.org/10.1007/s11250-016-1188-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ni.org/a/28617-1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86/s40064-016-2603-9" TargetMode="External"/><Relationship Id="rId23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hyperlink" Target="https://doi.org/10.1128/AEM.55.1.1-6.1989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doi.org/10.2527/jas1988.663792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A117A-4F3C-AC41-8E7D-D2FB940B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5549</Words>
  <Characters>29966</Characters>
  <Application>Microsoft Office Word</Application>
  <DocSecurity>0</DocSecurity>
  <Lines>249</Lines>
  <Paragraphs>70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Luiz Guilherme Gobato</dc:creator>
  <cp:lastModifiedBy>Usuário do Microsoft Office</cp:lastModifiedBy>
  <cp:revision>5</cp:revision>
  <cp:lastPrinted>2020-03-20T13:20:00Z</cp:lastPrinted>
  <dcterms:created xsi:type="dcterms:W3CDTF">2020-04-27T21:15:00Z</dcterms:created>
  <dcterms:modified xsi:type="dcterms:W3CDTF">2020-04-27T21:19:00Z</dcterms:modified>
</cp:coreProperties>
</file>